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5F6AEF" Type="http://schemas.openxmlformats.org/officeDocument/2006/relationships/officeDocument" Target="/word/document.xml" /><Relationship Id="coreR2A5F6AE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G02a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Gestión de Operadores de Trayport (Plataforma de Negociación)</w:t>
      </w:r>
    </w:p>
    <w:tbl>
      <w:tblPr>
        <w:tblStyle w:val="T2"/>
        <w:tblpPr w:leftFromText="141" w:rightFromText="141" w:tblpX="-459" w:tblpY="1" w:vertAnchor="text"/>
        <w:tblOverlap w:val="never"/>
        <w:tblW w:w="15276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567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Registro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14567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Cancelación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Tipo de Miembro</w:t>
      </w:r>
    </w:p>
    <w:tbl>
      <w:tblPr>
        <w:tblStyle w:val="T2"/>
        <w:tblW w:w="15451" w:type="dxa"/>
        <w:tblInd w:w="-601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5451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Nombre                                                                                                                                                                                                        Código: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Gestión de los Operadores</w:t>
      </w:r>
    </w:p>
    <w:tbl>
      <w:tblPr>
        <w:tblStyle w:val="T2"/>
        <w:tblW w:w="15414" w:type="dxa"/>
        <w:tblInd w:w="-5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407"/>
        </w:trPr>
        <w:tc>
          <w:tcPr>
            <w:tcW w:w="8596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Identificación de los Operadores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Nombre de Usuario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Plataforma de Negociación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(2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</w:tr>
      <w:tr>
        <w:trPr>
          <w:wAfter w:w="0" w:type="dxa"/>
          <w:trHeight w:hRule="atLeast" w:val="219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Nombre del Operador</w:t>
            </w: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Teléfono</w:t>
            </w: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E-mail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106" w:left="-106"/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Trader a)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Viewer b)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API Link User c)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Link (downstream)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d)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Trader (upstream)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e)</w:t>
            </w:r>
          </w:p>
        </w:tc>
      </w:tr>
      <w:tr>
        <w:trPr>
          <w:wAfter w:w="0" w:type="dxa"/>
          <w:trHeight w:hRule="atLeast" w:val="567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  <w:tr>
        <w:trPr>
          <w:wAfter w:w="0" w:type="dxa"/>
          <w:trHeight w:hRule="atLeast" w:val="575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  <w:tr>
        <w:trPr>
          <w:wAfter w:w="0" w:type="dxa"/>
          <w:trHeight w:hRule="atLeast" w:val="555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</w:tbl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numPr>
          <w:ilvl w:val="0"/>
          <w:numId w:val="4"/>
        </w:numPr>
        <w:tabs>
          <w:tab w:val="clear" w:pos="-32" w:leader="none"/>
          <w:tab w:val="left" w:pos="0" w:leader="none"/>
          <w:tab w:val="left" w:pos="720" w:leader="none"/>
        </w:tabs>
        <w:spacing w:before="60" w:after="60"/>
        <w:ind w:hanging="284" w:left="-142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 xml:space="preserve">Por favor asigne un nombre de usuario  (caracteres  alfanuméricos) para acceder al sistema Trayport. Límite: 8</w:t>
      </w:r>
    </w:p>
    <w:p>
      <w:pPr>
        <w:numPr>
          <w:ilvl w:val="0"/>
          <w:numId w:val="4"/>
        </w:numPr>
        <w:tabs>
          <w:tab w:val="clear" w:pos="-32" w:leader="none"/>
          <w:tab w:val="left" w:pos="0" w:leader="none"/>
          <w:tab w:val="left" w:pos="720" w:leader="none"/>
        </w:tabs>
        <w:spacing w:before="60" w:after="60"/>
        <w:ind w:hanging="284" w:left="-142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Por favor seleccione el tipo de acceso. Solo una columna debe ser rellenada con el nº de logins simultáneos para cada operador</w:t>
      </w:r>
    </w:p>
    <w:p>
      <w:pPr>
        <w:numPr>
          <w:ilvl w:val="1"/>
          <w:numId w:val="8"/>
        </w:numPr>
        <w:tabs>
          <w:tab w:val="left" w:pos="284" w:leader="none"/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GV Trader – usuario “trader” para la pantalla OMIP - Trayport GlobalVision (nº de logins simultáneos: en general 1)</w:t>
      </w:r>
    </w:p>
    <w:p>
      <w:pPr>
        <w:numPr>
          <w:ilvl w:val="1"/>
          <w:numId w:val="8"/>
        </w:numPr>
        <w:tabs>
          <w:tab w:val="left" w:pos="284" w:leader="none"/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GV Viewer - usuario “viewer” para la pantalla OMIP - Trayport GlobalVision (nº de logins simultáneos: en general 1)</w:t>
      </w:r>
    </w:p>
    <w:p>
      <w:pPr>
        <w:numPr>
          <w:ilvl w:val="1"/>
          <w:numId w:val="8"/>
        </w:numPr>
        <w:tabs>
          <w:tab w:val="left" w:pos="284" w:leader="none"/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API Link User (nº de logins simultaneos: 0 a 10)</w:t>
      </w:r>
    </w:p>
    <w:p>
      <w:pPr>
        <w:numPr>
          <w:ilvl w:val="1"/>
          <w:numId w:val="8"/>
        </w:numPr>
        <w:tabs>
          <w:tab w:val="left" w:pos="284" w:leader="none"/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TGW Link (downstream) - link para integración con el sistema Trading Gateway (nº de logins simultáneos: en general 2 para incluir herramienta de mapeo)</w:t>
      </w:r>
    </w:p>
    <w:p>
      <w:pPr>
        <w:numPr>
          <w:ilvl w:val="1"/>
          <w:numId w:val="8"/>
        </w:numPr>
        <w:tabs>
          <w:tab w:val="left" w:pos="284" w:leader="none"/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 xml:space="preserve">TGW Trader (upstream)  -</w:t>
      </w:r>
      <w:r>
        <w:t xml:space="preserve"> </w:t>
      </w:r>
      <w:r>
        <w:rPr>
          <w:rStyle w:val="C3"/>
          <w:rFonts w:ascii="Arial" w:hAnsi="Arial"/>
          <w:sz w:val="16"/>
        </w:rPr>
        <w:t>usuario “trader” para el sistema Trading Gateway (nº de logins simultáneos: en general 1)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Firma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</w:t>
      </w:r>
      <w:r>
        <w:rPr>
          <w:rStyle w:val="C3"/>
          <w:rFonts w:ascii="Arial" w:hAnsi="Arial"/>
          <w:b w:val="1"/>
          <w:sz w:val="22"/>
        </w:rPr>
        <w:t>Fecha</w:t>
      </w:r>
      <w:r>
        <w:rPr>
          <w:rStyle w:val="C3"/>
          <w:rFonts w:ascii="Arial" w:hAnsi="Arial"/>
          <w:sz w:val="22"/>
        </w:rPr>
        <w:t xml:space="preserve">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Responsable de Negociación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134" w:right="1134" w:top="1134" w:bottom="624" w:header="709" w:footer="5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5128" w:type="dxa"/>
      <w:tblInd w:w="-459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9459" w:type="dxa"/>
        </w:tcPr>
        <w:p>
          <w:pPr>
            <w:pStyle w:val="P5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5669" w:type="dxa"/>
        </w:tcPr>
        <w:p>
          <w:pPr>
            <w:pStyle w:val="P5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8415020</wp:posOffset>
          </wp:positionH>
          <wp:positionV relativeFrom="paragraph">
            <wp:posOffset>0</wp:posOffset>
          </wp:positionV>
          <wp:extent cx="913130" cy="35242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13130" cy="35242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3795063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6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73001CC6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2012-08-28T11:27:00Z</dcterms:created>
  <cp:lastModifiedBy>Susana Mendes [OMIP]</cp:lastModifiedBy>
  <cp:lastPrinted>2012-08-28T12:27:00Z</cp:lastPrinted>
  <dcterms:modified xsi:type="dcterms:W3CDTF">2020-02-26T15:36:45Z</dcterms:modified>
  <cp:revision>17</cp:revision>
  <dc:title>FICHA DE ADMISSÃO DE MEMBRO COMPENSADOR</dc:title>
</cp:coreProperties>
</file>