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749021A" Type="http://schemas.openxmlformats.org/officeDocument/2006/relationships/officeDocument" Target="/word/document.xml" /><Relationship Id="coreR6749021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tabs>
          <w:tab w:val="left" w:pos="0" w:leader="none"/>
          <w:tab w:val="center" w:pos="14580" w:leader="none"/>
        </w:tabs>
        <w:spacing w:lineRule="auto" w:line="240" w:before="0" w:after="0"/>
        <w:jc w:val="left"/>
        <w:rPr>
          <w:rStyle w:val="C3"/>
          <w:sz w:val="28"/>
        </w:rPr>
      </w:pP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92D050"/>
          <w:sz w:val="28"/>
        </w:rPr>
      </w:pPr>
      <w:r>
        <w:rPr>
          <w:rStyle w:val="C3"/>
          <w:color w:val="92D050"/>
          <w:sz w:val="28"/>
        </w:rPr>
        <w:t>Modelo G02b</w:t>
      </w:r>
    </w:p>
    <w:p>
      <w:pPr>
        <w:pStyle w:val="P1"/>
        <w:tabs>
          <w:tab w:val="center" w:pos="14580" w:leader="none"/>
        </w:tabs>
        <w:spacing w:before="0" w:after="0"/>
        <w:rPr>
          <w:rStyle w:val="C3"/>
          <w:color w:val="7F7F7F"/>
          <w:sz w:val="24"/>
        </w:rPr>
      </w:pPr>
      <w:r>
        <w:rPr>
          <w:rStyle w:val="C3"/>
          <w:color w:val="7F7F7F"/>
          <w:sz w:val="24"/>
        </w:rPr>
        <w:t>Gestión de Operadores de MiClear</w:t>
      </w:r>
    </w:p>
    <w:p>
      <w:pPr>
        <w:tabs>
          <w:tab w:val="left" w:pos="360" w:leader="none"/>
        </w:tabs>
        <w:spacing w:lineRule="auto" w:line="360"/>
        <w:ind w:right="-180"/>
        <w:rPr>
          <w:rStyle w:val="C3"/>
          <w:rFonts w:ascii="Arial" w:hAnsi="Arial"/>
          <w:b w:val="1"/>
          <w:sz w:val="22"/>
        </w:rPr>
      </w:pPr>
    </w:p>
    <w:tbl>
      <w:tblPr>
        <w:tblStyle w:val="T2"/>
        <w:tblpPr w:leftFromText="141" w:rightFromText="141" w:tblpX="75" w:tblpY="1" w:vertAnchor="text"/>
        <w:tblOverlap w:val="never"/>
        <w:tblW w:w="21256" w:type="dxa"/>
        <w:tblLayout w:type="fixed"/>
      </w:tblPr>
      <w:tblGrid/>
      <w:tr>
        <w:trPr>
          <w:wAfter w:w="0" w:type="dxa"/>
          <w:trHeight w:hRule="exact" w:val="529"/>
        </w:trPr>
        <w:tc>
          <w:tcPr>
            <w:tcW w:w="2733" w:type="dxa"/>
            <w:vMerge w:val="restart"/>
          </w:tcPr>
          <w:p>
            <w:pPr>
              <w:pStyle w:val="P6"/>
              <w:framePr w:w="0" w:h="0" w:hRule="auto" w:vSpace="0" w:hSpace="0" w:wrap="auto" w:vAnchor="margin" w:hAnchor="text" w:x="0" w:xAlign="left" w:y="0" w:yAlign="inline"/>
              <w:numPr>
                <w:ilvl w:val="0"/>
                <w:numId w:val="6"/>
              </w:numPr>
              <w:tabs>
                <w:tab w:val="left" w:pos="360" w:leader="none"/>
                <w:tab w:val="clear" w:pos="720" w:leader="none"/>
              </w:tabs>
              <w:spacing w:lineRule="auto" w:line="360"/>
              <w:ind w:hanging="720"/>
              <w:rPr>
                <w:rStyle w:val="C3"/>
                <w:b w:val="1"/>
                <w:color w:val="595959"/>
              </w:rPr>
            </w:pPr>
            <w:r>
              <w:rPr>
                <w:rStyle w:val="C3"/>
                <w:b w:val="1"/>
                <w:color w:val="595959"/>
              </w:rPr>
              <w:t>Tipo de Miembro</w:t>
            </w:r>
          </w:p>
        </w:tc>
        <w:tc>
          <w:tcPr>
            <w:tcW w:w="1911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Miembro Negociador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both"/>
              <w:rPr>
                <w:rStyle w:val="C3"/>
                <w:rFonts w:ascii="Arial" w:hAnsi="Arial"/>
                <w:sz w:val="22"/>
              </w:rPr>
            </w:pPr>
            <w:bookmarkStart w:id="0" w:name="Check1"/>
            <w:bookmarkEnd w:id="0"/>
          </w:p>
        </w:tc>
        <w:tc>
          <w:tcPr>
            <w:tcW w:w="2685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Agente de Liquidación Física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5094" w:type="dxa"/>
            <w:vAlign w:val="center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Registro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exact" w:val="529"/>
        </w:trPr>
        <w:tc>
          <w:tcPr>
            <w:tcW w:w="2733" w:type="dxa"/>
            <w:vMerge w:val="continue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1911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  <w:r>
              <w:rPr>
                <w:rStyle w:val="C3"/>
                <w:rFonts w:ascii="Arial" w:hAnsi="Arial"/>
                <w:i w:val="1"/>
                <w:sz w:val="16"/>
              </w:rPr>
              <w:t xml:space="preserve">Miembro </w:t>
            </w:r>
            <w:r>
              <w:rPr>
                <w:rStyle w:val="C3"/>
                <w:rFonts w:ascii="Arial" w:hAnsi="Arial"/>
                <w:i w:val="1"/>
                <w:sz w:val="16"/>
              </w:rPr>
              <w:t>Compensador</w:t>
            </w:r>
          </w:p>
        </w:tc>
        <w:tc>
          <w:tcPr>
            <w:tcW w:w="57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before="60"/>
              <w:jc w:val="both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2685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60" w:after="0"/>
              <w:ind w:firstLine="0"/>
              <w:jc w:val="left"/>
              <w:rPr>
                <w:rStyle w:val="C3"/>
                <w:sz w:val="22"/>
              </w:rPr>
            </w:pPr>
            <w:r>
              <w:rPr>
                <w:rStyle w:val="C3"/>
                <w:i w:val="1"/>
                <w:sz w:val="16"/>
              </w:rPr>
              <w:t>Agente de Liquidación Financeira</w:t>
            </w:r>
          </w:p>
        </w:tc>
        <w:tc>
          <w:tcPr>
            <w:tcW w:w="576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5094" w:type="dxa"/>
          </w:tcPr>
          <w:p>
            <w:pPr>
              <w:pStyle w:val="P2"/>
              <w:framePr w:w="0" w:h="0" w:hRule="auto" w:vSpace="0" w:hSpace="0" w:wrap="auto" w:vAnchor="margin" w:hAnchor="text" w:x="0" w:xAlign="left" w:y="0" w:yAlign="inline"/>
              <w:spacing w:lineRule="auto" w:line="240" w:before="0" w:after="0"/>
              <w:ind w:firstLine="0"/>
              <w:jc w:val="right"/>
              <w:rPr>
                <w:rStyle w:val="C3"/>
                <w:sz w:val="22"/>
              </w:rPr>
            </w:pPr>
            <w:r>
              <w:rPr>
                <w:rStyle w:val="C3"/>
                <w:b w:val="1"/>
                <w:color w:val="595959"/>
                <w:sz w:val="20"/>
              </w:rPr>
              <w:t>Cancelación</w:t>
            </w:r>
          </w:p>
        </w:tc>
        <w:tc>
          <w:tcPr>
            <w:tcW w:w="425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right"/>
              <w:rPr>
                <w:rStyle w:val="C3"/>
                <w:rFonts w:ascii="Arial" w:hAnsi="Arial"/>
                <w:sz w:val="22"/>
              </w:rPr>
            </w:pPr>
          </w:p>
        </w:tc>
        <w:tc>
          <w:tcPr>
            <w:tcW w:w="7256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360"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rPr>
          <w:rStyle w:val="C3"/>
          <w:vanish w:val="1"/>
        </w:rPr>
      </w:pPr>
    </w:p>
    <w:tbl>
      <w:tblPr>
        <w:tblStyle w:val="T2"/>
        <w:tblW w:w="14040" w:type="dxa"/>
        <w:tblInd w:w="468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wAfter w:w="0" w:type="dxa"/>
          <w:trHeight w:hRule="atLeast" w:val="603"/>
        </w:trPr>
        <w:tc>
          <w:tcPr>
            <w:tcW w:w="14040" w:type="dxa"/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  <w:r>
              <w:rPr>
                <w:rStyle w:val="C3"/>
                <w:rFonts w:ascii="Arial" w:hAnsi="Arial"/>
                <w:sz w:val="20"/>
              </w:rPr>
              <w:t xml:space="preserve">Nombre:                                                                                                                                                                  Código:</w:t>
            </w:r>
          </w:p>
          <w:tbl>
            <w:tblPr>
              <w:tblStyle w:val="T2"/>
              <w:tblpPr w:leftFromText="180" w:rightFromText="180" w:tblpX="1" w:tblpY="-454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11"/>
              </w:trPr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pStyle w:val="P6"/>
                    <w:ind w:left="-108"/>
                    <w:jc w:val="center"/>
                    <w:rPr>
                      <w:rStyle w:val="C3"/>
                      <w:b w:val="1"/>
                      <w:sz w:val="20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pStyle w:val="P6"/>
                    <w:ind w:left="-108"/>
                    <w:rPr>
                      <w:rStyle w:val="C3"/>
                      <w:b w:val="1"/>
                      <w:sz w:val="20"/>
                    </w:rPr>
                  </w:pPr>
                </w:p>
              </w:tc>
            </w:tr>
          </w:tbl>
          <w:p>
            <w:pPr>
              <w:rPr>
                <w:rStyle w:val="C3"/>
                <w:rFonts w:ascii="Arial" w:hAnsi="Arial"/>
                <w:sz w:val="20"/>
              </w:rPr>
            </w:pPr>
          </w:p>
        </w:tc>
      </w:tr>
    </w:tbl>
    <w:p>
      <w:pPr>
        <w:rPr>
          <w:rStyle w:val="C3"/>
          <w:rFonts w:ascii="Arial" w:hAnsi="Arial"/>
          <w:sz w:val="2"/>
        </w:rPr>
      </w:pPr>
    </w:p>
    <w:p>
      <w:pPr>
        <w:ind w:left="720"/>
        <w:rPr>
          <w:rStyle w:val="C3"/>
          <w:rFonts w:ascii="Arial" w:hAnsi="Arial"/>
          <w:b w:val="1"/>
          <w:color w:val="595959"/>
          <w:sz w:val="22"/>
        </w:rPr>
      </w:pPr>
    </w:p>
    <w:p>
      <w:pPr>
        <w:ind w:left="720"/>
        <w:rPr>
          <w:rStyle w:val="C3"/>
          <w:rFonts w:ascii="Arial" w:hAnsi="Arial"/>
          <w:b w:val="1"/>
          <w:color w:val="595959"/>
          <w:sz w:val="22"/>
        </w:rPr>
      </w:pPr>
    </w:p>
    <w:p>
      <w:pPr>
        <w:numPr>
          <w:ilvl w:val="0"/>
          <w:numId w:val="6"/>
        </w:numPr>
        <w:tabs>
          <w:tab w:val="left" w:pos="426" w:leader="none"/>
        </w:tabs>
        <w:spacing w:after="120"/>
        <w:ind w:hanging="624"/>
        <w:rPr>
          <w:rStyle w:val="C3"/>
          <w:rFonts w:ascii="Arial" w:hAnsi="Arial"/>
          <w:b w:val="1"/>
          <w:color w:val="595959"/>
          <w:sz w:val="22"/>
        </w:rPr>
      </w:pPr>
      <w:r>
        <w:rPr>
          <w:rStyle w:val="C3"/>
          <w:rFonts w:ascii="Arial" w:hAnsi="Arial"/>
          <w:b w:val="1"/>
          <w:color w:val="595959"/>
          <w:sz w:val="22"/>
        </w:rPr>
        <w:t>Gestión de los Operadores</w:t>
      </w:r>
    </w:p>
    <w:tbl>
      <w:tblPr>
        <w:tblStyle w:val="T2"/>
        <w:tblW w:w="14175" w:type="dxa"/>
        <w:tblInd w:w="392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519"/>
        </w:trPr>
        <w:tc>
          <w:tcPr>
            <w:tcW w:w="9214" w:type="dxa"/>
            <w:gridSpan w:val="3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Identificación de los Operadores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ind w:firstLine="672" w:left="-766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restart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6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Nombre de Usuario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 xml:space="preserve">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(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1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  <w:vertAlign w:val="superscript"/>
              </w:rPr>
              <w:t>)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977" w:type="dxa"/>
            <w:gridSpan w:val="2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2"/>
              </w:rPr>
              <w:t>Plataforma de Compensación</w:t>
            </w:r>
          </w:p>
        </w:tc>
      </w:tr>
      <w:tr>
        <w:trPr>
          <w:wAfter w:w="0" w:type="dxa"/>
          <w:trHeight w:hRule="atLeast" w:val="421"/>
        </w:trPr>
        <w:tc>
          <w:tcPr>
            <w:tcW w:w="2977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Nombre del Operador</w:t>
            </w:r>
          </w:p>
        </w:tc>
        <w:tc>
          <w:tcPr>
            <w:tcW w:w="1842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Teléfono</w:t>
            </w:r>
          </w:p>
        </w:tc>
        <w:tc>
          <w:tcPr>
            <w:tcW w:w="439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20"/>
              </w:rPr>
              <w:t>E-mail</w:t>
            </w: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418" w:type="dxa"/>
            <w:vMerge w:val="continue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jc w:val="center"/>
              <w:rPr>
                <w:rStyle w:val="C3"/>
                <w:rFonts w:ascii="Arial" w:hAnsi="Arial"/>
                <w:b w:val="1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Screen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(2)</w:t>
            </w: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shd w:val="clear" w:color="auto" w:fill="92D050"/>
            <w:vAlign w:val="center"/>
          </w:tcPr>
          <w:p>
            <w:pPr>
              <w:jc w:val="center"/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</w:pP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</w:rPr>
              <w:t xml:space="preserve">MiClear API </w:t>
            </w:r>
            <w:r>
              <w:rPr>
                <w:rStyle w:val="C3"/>
                <w:rFonts w:ascii="Arial Narrow" w:hAnsi="Arial Narrow"/>
                <w:b w:val="1"/>
                <w:color w:val="FFFFFF"/>
                <w:sz w:val="18"/>
                <w:vertAlign w:val="superscript"/>
              </w:rPr>
              <w:t>(3)</w:t>
            </w:r>
          </w:p>
        </w:tc>
      </w:tr>
      <w:tr>
        <w:trPr>
          <w:wAfter w:w="0" w:type="dxa"/>
          <w:trHeight w:hRule="atLeast" w:val="453"/>
        </w:trPr>
        <w:tc>
          <w:tcPr>
            <w:tcW w:w="2977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842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439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  <w:r>
              <w:rPr>
                <w:rStyle w:val="C3"/>
                <w:rFonts w:ascii="Arial" w:hAnsi="Arial"/>
              </w:rPr>
              <w:t xml:space="preserve"> </w:t>
            </w: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2977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842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439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  <w:r>
              <w:rPr>
                <w:rStyle w:val="C3"/>
                <w:rFonts w:ascii="Arial" w:hAnsi="Arial"/>
              </w:rPr>
              <w:t xml:space="preserve"> </w:t>
            </w:r>
          </w:p>
        </w:tc>
      </w:tr>
      <w:tr>
        <w:trPr>
          <w:wAfter w:w="0" w:type="dxa"/>
          <w:trHeight w:hRule="atLeast" w:val="453"/>
        </w:trPr>
        <w:tc>
          <w:tcPr>
            <w:tcW w:w="2977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842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439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  <w:tr>
        <w:trPr>
          <w:wAfter w:w="0" w:type="dxa"/>
          <w:trHeight w:hRule="atLeast" w:val="453"/>
        </w:trPr>
        <w:tc>
          <w:tcPr>
            <w:tcW w:w="2977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842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4395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lineRule="auto" w:line="3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rPr>
                <w:rStyle w:val="C3"/>
                <w:rFonts w:ascii="Arial" w:hAnsi="Arial"/>
                <w:sz w:val="20"/>
              </w:rPr>
            </w:pPr>
          </w:p>
        </w:tc>
        <w:tc>
          <w:tcPr>
            <w:tcW w:w="283" w:type="dxa"/>
            <w:tcBorders>
              <w:top w:val="none" w:sz="0" w:space="0" w:shadow="0" w:frame="0"/>
              <w:left w:val="dotted" w:sz="4" w:space="0" w:shadow="0" w:frame="0" w:color="595959"/>
              <w:bottom w:val="none" w:sz="0" w:space="0" w:shadow="0" w:frame="0"/>
              <w:right w:val="dotted" w:sz="4" w:space="0" w:shadow="0" w:frame="0" w:color="595959"/>
            </w:tcBorders>
            <w:shd w:val="clear" w:color="auto" w:fill="FFFFFF"/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  <w:sz w:val="16"/>
              </w:rPr>
            </w:pPr>
          </w:p>
        </w:tc>
        <w:tc>
          <w:tcPr>
            <w:tcW w:w="1559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  <w:tc>
          <w:tcPr>
            <w:tcW w:w="1418" w:type="dxa"/>
            <w:tcBorders>
              <w:top w:val="dotted" w:sz="4" w:space="0" w:shadow="0" w:frame="0" w:color="595959"/>
              <w:left w:val="dotted" w:sz="4" w:space="0" w:shadow="0" w:frame="0" w:color="595959"/>
              <w:bottom w:val="dotted" w:sz="4" w:space="0" w:shadow="0" w:frame="0" w:color="595959"/>
              <w:right w:val="dotted" w:sz="4" w:space="0" w:shadow="0" w:frame="0" w:color="595959"/>
            </w:tcBorders>
            <w:vAlign w:val="center"/>
          </w:tcPr>
          <w:p>
            <w:pPr>
              <w:spacing w:before="60"/>
              <w:jc w:val="center"/>
              <w:rPr>
                <w:rStyle w:val="C3"/>
                <w:rFonts w:ascii="Arial" w:hAnsi="Arial"/>
              </w:rPr>
            </w:pPr>
          </w:p>
        </w:tc>
      </w:tr>
    </w:tbl>
    <w:p>
      <w:pPr>
        <w:ind w:left="714"/>
        <w:rPr>
          <w:rStyle w:val="C3"/>
          <w:rFonts w:ascii="Arial" w:hAnsi="Arial"/>
          <w:sz w:val="14"/>
        </w:rPr>
      </w:pPr>
    </w:p>
    <w:p>
      <w:pPr>
        <w:numPr>
          <w:ilvl w:val="0"/>
          <w:numId w:val="4"/>
        </w:numPr>
        <w:tabs>
          <w:tab w:val="left" w:pos="720" w:leader="none"/>
        </w:tabs>
        <w:spacing w:before="40" w:after="40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Caracteres alfanuméricos. Límite: 8 </w:t>
      </w:r>
    </w:p>
    <w:p>
      <w:pPr>
        <w:numPr>
          <w:ilvl w:val="0"/>
          <w:numId w:val="4"/>
        </w:numPr>
        <w:tabs>
          <w:tab w:val="left" w:pos="720" w:leader="none"/>
        </w:tabs>
        <w:spacing w:before="40" w:after="40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 xml:space="preserve">MiClear Screen – el usuario accede  a los informes a través del “Graphical User Interface (GUI)” del sistema de compensación – más sencillo en una lógica de un usuario. No recomendable para integración con sistemas internos.</w:t>
      </w:r>
    </w:p>
    <w:p>
      <w:pPr>
        <w:numPr>
          <w:ilvl w:val="0"/>
          <w:numId w:val="4"/>
        </w:numPr>
        <w:tabs>
          <w:tab w:val="left" w:pos="720" w:leader="none"/>
        </w:tabs>
        <w:spacing w:before="40" w:after="40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sz w:val="14"/>
        </w:rPr>
        <w:t>MiClear API – el usuario accede a la información via “Application Programming Interface (API)” del sistema de compensación – recomendable para integración con los sistemas internos del miembro.</w:t>
      </w:r>
    </w:p>
    <w:p>
      <w:pPr>
        <w:rPr>
          <w:rStyle w:val="C3"/>
          <w:rFonts w:ascii="Arial" w:hAnsi="Arial"/>
          <w:sz w:val="12"/>
        </w:rPr>
      </w:pPr>
    </w:p>
    <w:p>
      <w:pPr>
        <w:rPr>
          <w:rStyle w:val="C3"/>
          <w:rFonts w:ascii="Arial" w:hAnsi="Arial"/>
          <w:sz w:val="12"/>
        </w:rPr>
      </w:pPr>
    </w:p>
    <w:p>
      <w:pPr>
        <w:spacing w:lineRule="auto" w:line="360"/>
        <w:rPr>
          <w:rStyle w:val="C3"/>
          <w:rFonts w:ascii="Arial" w:hAnsi="Arial"/>
          <w:b w:val="1"/>
          <w:sz w:val="20"/>
        </w:rPr>
      </w:pPr>
      <w:r>
        <w:rPr>
          <w:rStyle w:val="C3"/>
          <w:rFonts w:ascii="Arial" w:hAnsi="Arial"/>
          <w:b w:val="1"/>
          <w:sz w:val="20"/>
        </w:rPr>
        <w:t>Firma</w:t>
      </w:r>
      <w:r>
        <w:rPr>
          <w:rStyle w:val="C3"/>
          <w:rFonts w:ascii="Arial" w:hAnsi="Arial"/>
          <w:b w:val="1"/>
          <w:sz w:val="20"/>
        </w:rPr>
        <w:t xml:space="preserve">: </w:t>
      </w:r>
      <w:r>
        <w:rPr>
          <w:rStyle w:val="C3"/>
          <w:rFonts w:ascii="Arial" w:hAnsi="Arial"/>
          <w:color w:val="808080"/>
          <w:sz w:val="20"/>
        </w:rPr>
        <w:t xml:space="preserve"> _____________________________________________________________________</w:t>
      </w:r>
      <w:r>
        <w:rPr>
          <w:rStyle w:val="C3"/>
          <w:rFonts w:ascii="Arial" w:hAnsi="Arial"/>
          <w:b w:val="1"/>
          <w:sz w:val="20"/>
        </w:rPr>
        <w:t xml:space="preserve">  </w:t>
      </w:r>
      <w:r>
        <w:rPr>
          <w:rStyle w:val="C3"/>
          <w:rFonts w:ascii="Arial" w:hAnsi="Arial"/>
          <w:b w:val="1"/>
          <w:sz w:val="20"/>
        </w:rPr>
        <w:t xml:space="preserve">               </w:t>
      </w:r>
      <w:r>
        <w:rPr>
          <w:rStyle w:val="C3"/>
          <w:rFonts w:ascii="Arial" w:hAnsi="Arial"/>
          <w:b w:val="1"/>
          <w:sz w:val="20"/>
        </w:rPr>
        <w:t xml:space="preserve">     </w:t>
      </w:r>
      <w:r>
        <w:rPr>
          <w:rStyle w:val="C3"/>
          <w:rFonts w:ascii="Arial" w:hAnsi="Arial"/>
          <w:b w:val="1"/>
          <w:sz w:val="20"/>
        </w:rPr>
        <w:t>Fecha</w:t>
      </w:r>
      <w:r>
        <w:rPr>
          <w:rStyle w:val="C3"/>
          <w:rFonts w:ascii="Arial" w:hAnsi="Arial"/>
          <w:b w:val="1"/>
          <w:sz w:val="20"/>
        </w:rPr>
        <w:t>:</w:t>
      </w:r>
      <w:r>
        <w:rPr>
          <w:rStyle w:val="C3"/>
          <w:rFonts w:ascii="Arial" w:hAnsi="Arial"/>
          <w:sz w:val="20"/>
        </w:rPr>
        <w:t xml:space="preserve">  </w:t>
      </w:r>
    </w:p>
    <w:p>
      <w:pPr>
        <w:spacing w:lineRule="auto" w:line="360"/>
        <w:rPr>
          <w:rStyle w:val="C3"/>
          <w:rFonts w:ascii="Arial" w:hAnsi="Arial"/>
          <w:sz w:val="14"/>
        </w:rPr>
      </w:pPr>
      <w:r>
        <w:rPr>
          <w:rStyle w:val="C3"/>
          <w:rFonts w:ascii="Arial" w:hAnsi="Arial"/>
          <w:i w:val="1"/>
          <w:sz w:val="16"/>
        </w:rPr>
        <w:t xml:space="preserve">[Responsable de Negociación </w:t>
      </w:r>
      <w:r>
        <w:rPr>
          <w:rStyle w:val="C3"/>
          <w:rFonts w:ascii="Arial" w:hAnsi="Arial"/>
          <w:i w:val="1"/>
          <w:sz w:val="16"/>
        </w:rPr>
        <w:t xml:space="preserve">/ Responsable de Compensación </w:t>
      </w:r>
      <w:r>
        <w:rPr>
          <w:rStyle w:val="C3"/>
          <w:rFonts w:ascii="Arial" w:hAnsi="Arial"/>
          <w:i w:val="1"/>
          <w:sz w:val="16"/>
        </w:rPr>
        <w:t>]</w:t>
      </w:r>
    </w:p>
    <w:sectPr>
      <w:headerReference xmlns:r="http://schemas.openxmlformats.org/officeDocument/2006/relationships" w:type="first" r:id="RelHdr1"/>
      <w:headerReference xmlns:r="http://schemas.openxmlformats.org/officeDocument/2006/relationships" w:type="default" r:id="RelHdr2"/>
      <w:headerReference xmlns:r="http://schemas.openxmlformats.org/officeDocument/2006/relationships" w:type="even" r:id="RelHdr3"/>
      <w:footerReference xmlns:r="http://schemas.openxmlformats.org/officeDocument/2006/relationships" w:type="first" r:id="RelFtr1"/>
      <w:footerReference xmlns:r="http://schemas.openxmlformats.org/officeDocument/2006/relationships" w:type="default" r:id="RelFtr2"/>
      <w:footerReference xmlns:r="http://schemas.openxmlformats.org/officeDocument/2006/relationships" w:type="even" r:id="RelFtr3"/>
      <w:type w:val="nextPage"/>
      <w:pgSz w:w="16838" w:h="11906" w:code="0" w:orient="landscape"/>
      <w:pgMar w:left="1134" w:right="1134" w:top="1134" w:bottom="1134" w:header="709" w:footer="737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footer2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153" w:leader="none"/>
        <w:tab w:val="right" w:pos="8280" w:leader="none"/>
      </w:tabs>
      <w:ind w:right="-60"/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>OMIClear, C.C., S.A.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14"/>
      </w:rPr>
    </w:pPr>
    <w:r>
      <w:rPr>
        <w:rStyle w:val="C3"/>
        <w:rFonts w:ascii="Arial" w:hAnsi="Arial"/>
        <w:sz w:val="14"/>
      </w:rPr>
      <w:t xml:space="preserve">Av. Casal Ribeiro, nº 14 – 8º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1000-092 Lisboa-Portugal</w:t>
    </w:r>
  </w:p>
  <w:p>
    <w:pPr>
      <w:tabs>
        <w:tab w:val="center" w:pos="4153" w:leader="none"/>
        <w:tab w:val="right" w:pos="8306" w:leader="none"/>
      </w:tabs>
      <w:rPr>
        <w:rStyle w:val="C3"/>
        <w:rFonts w:ascii="Arial" w:hAnsi="Arial"/>
        <w:sz w:val="20"/>
      </w:rPr>
    </w:pPr>
    <w:r>
      <w:rPr>
        <w:rStyle w:val="C3"/>
        <w:rFonts w:ascii="Arial" w:hAnsi="Arial"/>
        <w:sz w:val="14"/>
      </w:rPr>
      <w:t xml:space="preserve">Tel.: +351 210006020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Fax: +351 210006021  </w:t>
    </w:r>
    <w:r>
      <w:rPr>
        <w:rStyle w:val="C3"/>
        <w:rFonts w:ascii="Wingdings" w:hAnsi="Wingdings"/>
        <w:sz w:val="14"/>
      </w:rPr>
      <w:t></w:t>
    </w:r>
    <w:r>
      <w:rPr>
        <w:rStyle w:val="C3"/>
        <w:rFonts w:ascii="Arial" w:hAnsi="Arial"/>
        <w:sz w:val="14"/>
      </w:rPr>
      <w:t xml:space="preserve">  </w:t>
    </w:r>
    <w:r>
      <w:rPr>
        <w:rStyle w:val="C3"/>
        <w:rFonts w:ascii="Arial" w:hAnsi="Arial"/>
        <w:i w:val="1"/>
        <w:sz w:val="14"/>
      </w:rPr>
      <w:t>E-mail</w:t>
    </w:r>
    <w:r>
      <w:rPr>
        <w:rStyle w:val="C3"/>
        <w:rFonts w:ascii="Arial" w:hAnsi="Arial"/>
        <w:sz w:val="14"/>
      </w:rPr>
      <w:t>: clearing@omiclear.pt</w:t>
    </w:r>
  </w:p>
</w:ftr>
</file>

<file path=word/footer3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</w:pP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rPr>
        <w:rStyle w:val="C3"/>
      </w:rPr>
    </w:pPr>
  </w:p>
</w:hdr>
</file>

<file path=word/header2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  <w:ind w:right="111"/>
      <w:jc w:val="right"/>
      <w:rPr>
        <w:rStyle w:val="C3"/>
      </w:rPr>
    </w:pPr>
    <w:r>
      <w:drawing>
        <wp:inline xmlns:wp="http://schemas.openxmlformats.org/drawingml/2006/wordprocessingDrawing">
          <wp:extent cx="1501775" cy="380365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1501775" cy="380365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4"/>
    </w:pPr>
  </w:p>
</w:hdr>
</file>

<file path=word/numbering.xml><?xml version="1.0" encoding="utf-8"?>
<w:numbering xmlns:w="http://schemas.openxmlformats.org/wordprocessingml/2006/main">
  <w:abstractNum w:abstractNumId="0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i w:val="0"/>
        <w:color w:val="595959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">
    <w:nsid w:val="13B6536D"/>
    <w:multiLevelType w:val="multilevel"/>
    <w:lvl w:ilvl="0">
      <w:start w:val="1"/>
      <w:numFmt w:val="decimal"/>
      <w:suff w:val="tab"/>
      <w:lvlText w:val="(%1)"/>
      <w:lvlJc w:val="left"/>
      <w:pPr>
        <w:ind w:hanging="360" w:left="688"/>
        <w:tabs>
          <w:tab w:val="left" w:pos="688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08"/>
        <w:tabs>
          <w:tab w:val="left" w:pos="140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28"/>
        <w:tabs>
          <w:tab w:val="left" w:pos="212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48"/>
        <w:tabs>
          <w:tab w:val="left" w:pos="284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568"/>
        <w:tabs>
          <w:tab w:val="left" w:pos="356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288"/>
        <w:tabs>
          <w:tab w:val="left" w:pos="428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08"/>
        <w:tabs>
          <w:tab w:val="left" w:pos="500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28"/>
        <w:tabs>
          <w:tab w:val="left" w:pos="572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48"/>
        <w:tabs>
          <w:tab w:val="left" w:pos="6448" w:leader="none"/>
        </w:tabs>
      </w:pPr>
      <w:rPr/>
    </w:lvl>
  </w:abstractNum>
  <w:abstractNum w:abstractNumId="2">
    <w:nsid w:val="1E4C08E9"/>
    <w:multiLevelType w:val="multilevel"/>
    <w:lvl w:ilvl="0">
      <w:start w:val="1"/>
      <w:numFmt w:val="decimal"/>
      <w:suff w:val="tab"/>
      <w:lvlText w:val="(%1)"/>
      <w:lvlJc w:val="left"/>
      <w:pPr>
        <w:ind w:hanging="360" w:left="1080"/>
        <w:tabs>
          <w:tab w:val="left" w:pos="108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3">
    <w:nsid w:val="27B756F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>
        <w:b w:val="0"/>
      </w:rPr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">
    <w:nsid w:val="2E37326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5">
    <w:nsid w:val="63812343"/>
    <w:multiLevelType w:val="multilevel"/>
    <w:lvl w:ilvl="0">
      <w:start w:val="1"/>
      <w:numFmt w:val="decimal"/>
      <w:suff w:val="tab"/>
      <w:lvlText w:val="(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Cabeçalho 1"/>
    <w:basedOn w:val="P0"/>
    <w:next w:val="P0"/>
    <w:qFormat/>
    <w:pPr>
      <w:keepNext w:val="1"/>
      <w:spacing w:lineRule="auto" w:line="360" w:before="240" w:after="60"/>
      <w:jc w:val="center"/>
      <w:outlineLvl w:val="0"/>
    </w:pPr>
    <w:rPr>
      <w:rFonts w:ascii="Arial" w:hAnsi="Arial"/>
      <w:b w:val="1"/>
      <w:sz w:val="32"/>
    </w:rPr>
  </w:style>
  <w:style w:type="paragraph" w:styleId="P2">
    <w:name w:val="texto"/>
    <w:basedOn w:val="P0"/>
    <w:next w:val="P2"/>
    <w:pPr>
      <w:spacing w:lineRule="exact" w:line="240" w:before="40" w:after="40"/>
      <w:ind w:firstLine="283"/>
      <w:jc w:val="both"/>
    </w:pPr>
    <w:rPr>
      <w:rFonts w:ascii="Arial" w:hAnsi="Arial"/>
      <w:sz w:val="18"/>
    </w:rPr>
  </w:style>
  <w:style w:type="paragraph" w:styleId="P3">
    <w:name w:val="Texto de balão"/>
    <w:basedOn w:val="P0"/>
    <w:next w:val="P3"/>
    <w:pPr/>
    <w:rPr>
      <w:rFonts w:ascii="Tahoma" w:hAnsi="Tahoma"/>
      <w:sz w:val="16"/>
    </w:rPr>
  </w:style>
  <w:style w:type="paragraph" w:styleId="P4">
    <w:name w:val="Cabeçalho"/>
    <w:basedOn w:val="P0"/>
    <w:next w:val="P4"/>
    <w:pPr>
      <w:tabs>
        <w:tab w:val="center" w:pos="4153" w:leader="none"/>
        <w:tab w:val="right" w:pos="8306" w:leader="none"/>
      </w:tabs>
    </w:pPr>
    <w:rPr/>
  </w:style>
  <w:style w:type="paragraph" w:styleId="P5">
    <w:name w:val="Rodapé"/>
    <w:basedOn w:val="P0"/>
    <w:next w:val="P5"/>
    <w:pPr>
      <w:tabs>
        <w:tab w:val="center" w:pos="4153" w:leader="none"/>
        <w:tab w:val="right" w:pos="8306" w:leader="none"/>
      </w:tabs>
    </w:pPr>
    <w:rPr/>
  </w:style>
  <w:style w:type="paragraph" w:styleId="P6">
    <w:name w:val="Corpo de texto 2"/>
    <w:basedOn w:val="P0"/>
    <w:next w:val="P6"/>
    <w:link w:val="C4"/>
    <w:pPr/>
    <w:rPr>
      <w:rFonts w:ascii="Arial" w:hAnsi="Arial"/>
      <w:sz w:val="22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Corpo de texto 2 Carácter"/>
    <w:link w:val="P6"/>
    <w:rPr>
      <w:rFonts w:ascii="Arial" w:hAnsi="Arial"/>
      <w:sz w:val="22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Hdr2" Type="http://schemas.openxmlformats.org/officeDocument/2006/relationships/header" Target="header2.xml" /><Relationship Id="RelHdr3" Type="http://schemas.openxmlformats.org/officeDocument/2006/relationships/header" Target="header3.xml" /><Relationship Id="RelFtr1" Type="http://schemas.openxmlformats.org/officeDocument/2006/relationships/footer" Target="footer1.xml" /><Relationship Id="RelFtr2" Type="http://schemas.openxmlformats.org/officeDocument/2006/relationships/footer" Target="footer2.xml" /><Relationship Id="RelFtr3" Type="http://schemas.openxmlformats.org/officeDocument/2006/relationships/footer" Target="footer3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2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aclaro</dc:creator>
  <dcterms:created xsi:type="dcterms:W3CDTF">2013-09-18T12:45:00Z</dcterms:created>
  <cp:lastModifiedBy>Susana Mendes [OMIP]</cp:lastModifiedBy>
  <cp:lastPrinted>2008-10-06T13:39:00Z</cp:lastPrinted>
  <dcterms:modified xsi:type="dcterms:W3CDTF">2020-02-26T15:36:45Z</dcterms:modified>
  <cp:revision>15</cp:revision>
  <dc:title>FICHA DE ADMISSÃO DE MEMBRO COMPENSADOR</dc:title>
</cp:coreProperties>
</file>