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12E946" Type="http://schemas.openxmlformats.org/officeDocument/2006/relationships/officeDocument" Target="/word/document.xml" /><Relationship Id="coreR3312E94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>Model</w:t>
      </w:r>
      <w:r>
        <w:rPr>
          <w:rStyle w:val="C3"/>
          <w:b w:val="1"/>
          <w:color w:val="92D050"/>
          <w:sz w:val="28"/>
        </w:rPr>
        <w:t xml:space="preserve">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15</w:t>
      </w:r>
    </w:p>
    <w:p>
      <w:pPr>
        <w:pStyle w:val="P17"/>
        <w:numPr>
          <w:ilvl w:val="0"/>
          <w:numId w:val="0"/>
        </w:numPr>
        <w:spacing w:lineRule="auto" w:line="276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Request for the Transfer of Transactions between</w:t>
      </w:r>
      <w:r>
        <w:rPr>
          <w:rStyle w:val="C3"/>
          <w:b w:val="1"/>
          <w:color w:val="7F7F7F"/>
          <w:sz w:val="24"/>
        </w:rPr>
        <w:t xml:space="preserve"> </w:t>
      </w:r>
      <w:r>
        <w:rPr>
          <w:rStyle w:val="C3"/>
          <w:b w:val="1"/>
          <w:color w:val="7F7F7F"/>
          <w:sz w:val="24"/>
        </w:rPr>
        <w:t xml:space="preserve">Trading Accounts held by the same </w:t>
      </w:r>
      <w:r>
        <w:rPr>
          <w:rStyle w:val="C3"/>
          <w:b w:val="1"/>
          <w:color w:val="7F7F7F"/>
          <w:sz w:val="24"/>
        </w:rPr>
        <w:t>Entity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rFonts w:ascii="Arial Black" w:hAnsi="Arial Black"/>
          <w:sz w:val="28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 of the Trading Member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Name:                                                                                   Code: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 of the holder of the Trading Accounts which are to be transferred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p>
            <w:pPr>
              <w:spacing w:before="0"/>
              <w:jc w:val="left"/>
            </w:pPr>
            <w:r>
              <w:t xml:space="preserve">Name:                                                                                             </w:t>
            </w: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Transfer of Transactions between accounts held by the same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Entity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460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Original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Trading Account</w:t>
            </w:r>
          </w:p>
        </w:tc>
        <w:tc>
          <w:tcPr>
            <w:tcW w:w="42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Destined Trading Account</w:t>
            </w:r>
          </w:p>
        </w:tc>
      </w:tr>
      <w:tr>
        <w:trPr>
          <w:trHeight w:hRule="atLeast" w:val="498"/>
        </w:trPr>
        <w:tc>
          <w:tcPr>
            <w:tcW w:w="4600" w:type="dxa"/>
            <w:vAlign w:val="center"/>
          </w:tcPr>
          <w:tbl>
            <w:tblPr>
              <w:tblStyle w:val="T2"/>
              <w:tblW w:w="3498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  <w:tc>
          <w:tcPr>
            <w:tcW w:w="4220" w:type="dxa"/>
            <w:vAlign w:val="center"/>
          </w:tcPr>
          <w:tbl>
            <w:tblPr>
              <w:tblStyle w:val="T2"/>
              <w:tblW w:w="3498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Specification</w:t>
      </w:r>
      <w:r>
        <w:rPr>
          <w:rStyle w:val="C3"/>
          <w:b w:val="1"/>
          <w:sz w:val="22"/>
        </w:rPr>
        <w:t xml:space="preserve"> of the Transactions underlying the Transfer</w:t>
      </w:r>
      <w:r>
        <w:rPr>
          <w:rStyle w:val="C3"/>
          <w:b w:val="1"/>
          <w:sz w:val="22"/>
        </w:rPr>
        <w:t>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</w:p>
        </w:tc>
        <w:tc>
          <w:tcPr>
            <w:tcW w:w="396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Contra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ct underlying the Transfer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3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. of Contracts to be tran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s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ferred</w:t>
            </w: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i w:val="1"/>
          <w:sz w:val="16"/>
        </w:rPr>
        <w:t xml:space="preserve">1 – </w:t>
      </w:r>
      <w:r>
        <w:rPr>
          <w:rStyle w:val="C3"/>
          <w:i w:val="1"/>
          <w:sz w:val="16"/>
        </w:rPr>
        <w:t>The Tr</w:t>
      </w:r>
      <w:r>
        <w:rPr>
          <w:rStyle w:val="C3"/>
          <w:i w:val="1"/>
          <w:sz w:val="16"/>
        </w:rPr>
        <w:t xml:space="preserve">ade ID </w:t>
      </w:r>
      <w:r>
        <w:rPr>
          <w:rStyle w:val="C3"/>
          <w:i w:val="1"/>
          <w:sz w:val="16"/>
        </w:rPr>
        <w:t xml:space="preserve">is the trade </w:t>
      </w:r>
      <w:r>
        <w:rPr>
          <w:rStyle w:val="C3"/>
          <w:i w:val="1"/>
          <w:sz w:val="16"/>
        </w:rPr>
        <w:t>code which can be found in the Trade</w:t>
      </w:r>
      <w:r>
        <w:rPr>
          <w:rStyle w:val="C3"/>
          <w:i w:val="1"/>
          <w:sz w:val="16"/>
        </w:rPr>
        <w:t xml:space="preserve"> History</w:t>
      </w:r>
      <w:r>
        <w:rPr>
          <w:rStyle w:val="C3"/>
          <w:i w:val="1"/>
          <w:sz w:val="16"/>
        </w:rPr>
        <w:t xml:space="preserve"> r</w:t>
      </w:r>
      <w:r>
        <w:rPr>
          <w:rStyle w:val="C3"/>
          <w:i w:val="1"/>
          <w:sz w:val="16"/>
        </w:rPr>
        <w:t xml:space="preserve">eport of </w:t>
      </w:r>
      <w:r>
        <w:rPr>
          <w:rStyle w:val="C3"/>
          <w:i w:val="1"/>
          <w:sz w:val="16"/>
        </w:rPr>
        <w:t>MiClear (Clearing Platform)</w:t>
      </w: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color w:val="808080"/>
        </w:rPr>
      </w:pPr>
      <w:r>
        <w:rPr>
          <w:rStyle w:val="C3"/>
          <w:b w:val="1"/>
          <w:sz w:val="22"/>
        </w:rPr>
        <w:t>Dat</w:t>
      </w:r>
      <w:r>
        <w:rPr>
          <w:rStyle w:val="C3"/>
          <w:b w:val="1"/>
          <w:sz w:val="22"/>
        </w:rPr>
        <w:t>e</w:t>
      </w:r>
      <w:r>
        <w:rPr>
          <w:rStyle w:val="C3"/>
          <w:b w:val="1"/>
          <w:sz w:val="22"/>
        </w:rPr>
        <w:t>:</w:t>
      </w:r>
      <w:r>
        <w:t xml:space="preserve">  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 xml:space="preserve">_______           </w:t>
      </w: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sz w:val="22"/>
        </w:rPr>
      </w:pPr>
      <w:r>
        <w:rPr>
          <w:rStyle w:val="C3"/>
          <w:b w:val="1"/>
          <w:sz w:val="22"/>
        </w:rPr>
        <w:t>Signature</w:t>
      </w:r>
      <w:r>
        <w:rPr>
          <w:rStyle w:val="C3"/>
          <w:b w:val="1"/>
          <w:sz w:val="22"/>
        </w:rPr>
        <w:t xml:space="preserve">:  </w:t>
      </w:r>
      <w:r>
        <w:t>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i w:val="1"/>
          <w:sz w:val="18"/>
        </w:rPr>
      </w:pPr>
      <w:r>
        <w:rPr>
          <w:rStyle w:val="C3"/>
          <w:i w:val="1"/>
          <w:sz w:val="18"/>
        </w:rPr>
        <w:t>[</w:t>
      </w:r>
      <w:r>
        <w:rPr>
          <w:rStyle w:val="C3"/>
          <w:i w:val="1"/>
          <w:sz w:val="18"/>
        </w:rPr>
        <w:t>Trading</w:t>
      </w:r>
      <w:r>
        <w:rPr>
          <w:rStyle w:val="C3"/>
          <w:i w:val="1"/>
          <w:sz w:val="18"/>
        </w:rPr>
        <w:t xml:space="preserve"> Manager</w:t>
      </w:r>
      <w:r>
        <w:rPr>
          <w:rStyle w:val="C3"/>
          <w:i w:val="1"/>
          <w:sz w:val="18"/>
        </w:rPr>
        <w:t>]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5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  <w:r>
      <w:rPr>
        <w:rStyle w:val="C5"/>
        <w:sz w:val="14"/>
      </w:rPr>
      <w:tab/>
    </w:r>
  </w:p>
  <w:p>
    <w:pPr>
      <w:pStyle w:val="P6"/>
      <w:spacing w:before="0"/>
      <w:jc w:val="right"/>
      <w:rPr>
        <w:rStyle w:val="C3"/>
        <w:b w:val="1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5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7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8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19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0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F7B6878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3"/>
  </w:num>
  <w:num w:numId="17">
    <w:abstractNumId w:val="38"/>
  </w:num>
  <w:num w:numId="18">
    <w:abstractNumId w:val="29"/>
  </w:num>
  <w:num w:numId="19">
    <w:abstractNumId w:val="18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1"/>
  </w:num>
  <w:num w:numId="26">
    <w:abstractNumId w:val="5"/>
  </w:num>
  <w:num w:numId="27">
    <w:abstractNumId w:val="19"/>
  </w:num>
  <w:num w:numId="28">
    <w:abstractNumId w:val="28"/>
  </w:num>
  <w:num w:numId="29">
    <w:abstractNumId w:val="39"/>
  </w:num>
  <w:num w:numId="30">
    <w:abstractNumId w:val="27"/>
  </w:num>
  <w:num w:numId="31">
    <w:abstractNumId w:val="16"/>
  </w:num>
  <w:num w:numId="32">
    <w:abstractNumId w:val="34"/>
  </w:num>
  <w:num w:numId="33">
    <w:abstractNumId w:val="32"/>
  </w:num>
  <w:num w:numId="34">
    <w:abstractNumId w:val="9"/>
  </w:num>
  <w:num w:numId="35">
    <w:abstractNumId w:val="14"/>
  </w:num>
  <w:num w:numId="36">
    <w:abstractNumId w:val="7"/>
  </w:num>
  <w:num w:numId="37">
    <w:abstractNumId w:val="10"/>
  </w:num>
  <w:num w:numId="38">
    <w:abstractNumId w:val="20"/>
  </w:num>
  <w:num w:numId="39">
    <w:abstractNumId w:val="11"/>
  </w:num>
  <w:num w:numId="40">
    <w:abstractNumId w:val="27"/>
  </w:num>
  <w:num w:numId="41">
    <w:abstractNumId w:val="27"/>
  </w:num>
  <w:num w:numId="42">
    <w:abstractNumId w:val="2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2008-10-08T14:05:00Z</dcterms:created>
  <cp:lastModifiedBy>Susana Mendes [OMIP]</cp:lastModifiedBy>
  <cp:lastPrinted>2007-12-21T16:17:00Z</cp:lastPrinted>
  <dcterms:modified xsi:type="dcterms:W3CDTF">2020-02-26T13:14:37Z</dcterms:modified>
  <cp:revision>6</cp:revision>
  <dc:title> </dc:title>
</cp:coreProperties>
</file>