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601EB1" Type="http://schemas.openxmlformats.org/officeDocument/2006/relationships/officeDocument" Target="/word/document.xml" /><Relationship Id="coreR3C601E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  <w:tab w:val="center" w:pos="14580" w:leader="none"/>
        </w:tabs>
        <w:spacing w:lineRule="auto" w:line="240" w:before="0" w:after="0"/>
        <w:jc w:val="left"/>
        <w:rPr>
          <w:rStyle w:val="C3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G02b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Management of Operators of MiClear (Clearing Platform)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tbl>
      <w:tblPr>
        <w:tblStyle w:val="T2"/>
        <w:tblpPr w:leftFromText="141" w:rightFromText="141" w:tblpX="75" w:tblpY="1" w:vertAnchor="text"/>
        <w:tblOverlap w:val="never"/>
        <w:tblW w:w="21681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2733" w:type="dxa"/>
            <w:vMerge w:val="restart"/>
          </w:tcPr>
          <w:p>
            <w:pPr>
              <w:pStyle w:val="P6"/>
              <w:framePr w:w="0" w:h="0" w:hRule="auto" w:vSpace="0" w:hSpace="0" w:wrap="auto" w:vAnchor="margin" w:hAnchor="text" w:x="0" w:xAlign="left" w:y="0" w:yAlign="inline"/>
              <w:numPr>
                <w:ilvl w:val="0"/>
                <w:numId w:val="6"/>
              </w:numPr>
              <w:tabs>
                <w:tab w:val="left" w:pos="360" w:leader="none"/>
                <w:tab w:val="clear" w:pos="720" w:leader="none"/>
              </w:tabs>
              <w:spacing w:lineRule="auto" w:line="360"/>
              <w:ind w:hanging="720"/>
              <w:rPr>
                <w:rStyle w:val="C3"/>
                <w:b w:val="1"/>
                <w:color w:val="595959"/>
              </w:rPr>
            </w:pPr>
            <w:r>
              <w:rPr>
                <w:rStyle w:val="C3"/>
                <w:b w:val="1"/>
                <w:color w:val="595959"/>
              </w:rPr>
              <w:t>Membership Type:</w:t>
            </w:r>
          </w:p>
        </w:tc>
        <w:tc>
          <w:tcPr>
            <w:tcW w:w="1726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Trading Member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301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Physical Settlement Agent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6088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2733" w:type="dxa"/>
            <w:vMerge w:val="continue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172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Clearing Member</w:t>
            </w:r>
          </w:p>
        </w:tc>
        <w:tc>
          <w:tcPr>
            <w:tcW w:w="57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301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Financial Settlement Agent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6088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Cancellation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rPr>
          <w:rStyle w:val="C3"/>
          <w:vanish w:val="1"/>
        </w:rPr>
      </w:pPr>
    </w:p>
    <w:tbl>
      <w:tblPr>
        <w:tblStyle w:val="T2"/>
        <w:tblW w:w="14040" w:type="dxa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603"/>
        </w:trPr>
        <w:tc>
          <w:tcPr>
            <w:tcW w:w="140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Name:                                                                                                                                                                                     Code: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360" w:leader="none"/>
          <w:tab w:val="clear" w:pos="720" w:leader="none"/>
        </w:tabs>
        <w:spacing w:lineRule="auto" w:line="360" w:before="360"/>
        <w:ind w:hanging="720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Management</w:t>
      </w:r>
      <w:r>
        <w:rPr>
          <w:rStyle w:val="C3"/>
          <w:b w:val="1"/>
          <w:color w:val="595959"/>
        </w:rPr>
        <w:t xml:space="preserve"> of Operators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 xml:space="preserve"> </w:t>
      </w:r>
    </w:p>
    <w:tbl>
      <w:tblPr>
        <w:tblStyle w:val="T2"/>
        <w:tblW w:w="14175" w:type="dxa"/>
        <w:tblInd w:w="392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519"/>
        </w:trPr>
        <w:tc>
          <w:tcPr>
            <w:tcW w:w="9214" w:type="dxa"/>
            <w:gridSpan w:val="3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Operator’s Identification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Username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)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MiClear (clearing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platform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)</w:t>
            </w:r>
          </w:p>
        </w:tc>
      </w:tr>
      <w:tr>
        <w:trPr>
          <w:wAfter w:w="0" w:type="dxa"/>
          <w:trHeight w:hRule="atLeast" w:val="421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Name of Operator </w:t>
            </w: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Telephone</w:t>
            </w: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E-mail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continue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Screen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API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(3)</w:t>
            </w: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4394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ind w:left="714"/>
        <w:rPr>
          <w:rStyle w:val="C3"/>
          <w:rFonts w:ascii="Arial" w:hAnsi="Arial"/>
          <w:sz w:val="14"/>
        </w:rPr>
      </w:pPr>
    </w:p>
    <w:p>
      <w:pPr>
        <w:numPr>
          <w:ilvl w:val="0"/>
          <w:numId w:val="4"/>
        </w:numPr>
        <w:tabs>
          <w:tab w:val="left" w:pos="720" w:leader="none"/>
        </w:tabs>
        <w:spacing w:before="60" w:after="60"/>
        <w:ind w:hanging="357" w:left="714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Alphanumeric characters. Limit: 8 </w:t>
      </w:r>
    </w:p>
    <w:p>
      <w:pPr>
        <w:numPr>
          <w:ilvl w:val="0"/>
          <w:numId w:val="4"/>
        </w:numPr>
        <w:tabs>
          <w:tab w:val="left" w:pos="720" w:leader="none"/>
        </w:tabs>
        <w:spacing w:before="60" w:after="60"/>
        <w:ind w:hanging="357" w:left="714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MiClear Screen – the user is able to access to the Graphical User Interface (GUI) of the clearing platform</w:t>
      </w:r>
    </w:p>
    <w:p>
      <w:pPr>
        <w:numPr>
          <w:ilvl w:val="0"/>
          <w:numId w:val="4"/>
        </w:numPr>
        <w:tabs>
          <w:tab w:val="left" w:pos="720" w:leader="none"/>
        </w:tabs>
        <w:spacing w:before="60" w:after="60"/>
        <w:ind w:hanging="357" w:left="714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MiClear API – the user is able to access to the Application Programming Interface (API) of the clearing platform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>Signature</w:t>
      </w:r>
      <w:r>
        <w:rPr>
          <w:rStyle w:val="C3"/>
          <w:rFonts w:ascii="Arial" w:hAnsi="Arial"/>
          <w:b w:val="1"/>
          <w:sz w:val="20"/>
        </w:rPr>
        <w:t xml:space="preserve">: </w:t>
      </w:r>
      <w:r>
        <w:rPr>
          <w:rStyle w:val="C3"/>
          <w:rFonts w:ascii="Arial" w:hAnsi="Arial"/>
          <w:color w:val="808080"/>
          <w:sz w:val="20"/>
        </w:rPr>
        <w:t xml:space="preserve"> _____________________________________________________________________</w:t>
      </w:r>
      <w:r>
        <w:rPr>
          <w:rStyle w:val="C3"/>
          <w:rFonts w:ascii="Arial" w:hAnsi="Arial"/>
          <w:b w:val="1"/>
          <w:sz w:val="20"/>
        </w:rPr>
        <w:t xml:space="preserve">  </w:t>
      </w:r>
      <w:r>
        <w:rPr>
          <w:rStyle w:val="C3"/>
          <w:rFonts w:ascii="Arial" w:hAnsi="Arial"/>
          <w:b w:val="1"/>
          <w:sz w:val="20"/>
        </w:rPr>
        <w:t xml:space="preserve">               </w:t>
      </w:r>
      <w:r>
        <w:rPr>
          <w:rStyle w:val="C3"/>
          <w:rFonts w:ascii="Arial" w:hAnsi="Arial"/>
          <w:b w:val="1"/>
          <w:sz w:val="20"/>
        </w:rPr>
        <w:t>Date:</w:t>
      </w:r>
      <w:r>
        <w:rPr>
          <w:rStyle w:val="C3"/>
          <w:rFonts w:ascii="Arial" w:hAnsi="Arial"/>
          <w:sz w:val="20"/>
        </w:rPr>
        <w:t xml:space="preserve">  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 xml:space="preserve">______   </w:t>
      </w:r>
      <w:r>
        <w:rPr>
          <w:rStyle w:val="C3"/>
          <w:rFonts w:ascii="Arial" w:hAnsi="Arial"/>
          <w:sz w:val="20"/>
        </w:rPr>
        <w:t xml:space="preserve">        </w:t>
      </w:r>
    </w:p>
    <w:p>
      <w:pPr>
        <w:spacing w:lineRule="auto" w:line="360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[Trading Manager / Clearing and Settlement Manager/ Agent Representative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6838" w:h="11906" w:code="0" w:orient="landscape"/>
      <w:pgMar w:left="1134" w:right="1134" w:top="1134" w:bottom="1134" w:header="709" w:footer="73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153" w:leader="none"/>
        <w:tab w:val="right" w:pos="8280" w:leader="none"/>
      </w:tabs>
      <w:ind w:right="-60"/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>OMIClear, C.C., S.A.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 xml:space="preserve">Av. Casal Ribeiro, nº 14 – 8º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1000-092 Lisboa-Portugal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20"/>
      </w:rPr>
    </w:pPr>
    <w:r>
      <w:rPr>
        <w:rStyle w:val="C3"/>
        <w:rFonts w:ascii="Arial" w:hAnsi="Arial"/>
        <w:sz w:val="14"/>
      </w:rPr>
      <w:t xml:space="preserve">Tel.: +351 210006020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Fax: +351 210006021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</w:t>
    </w:r>
    <w:r>
      <w:rPr>
        <w:rStyle w:val="C3"/>
        <w:rFonts w:ascii="Arial" w:hAnsi="Arial"/>
        <w:i w:val="1"/>
        <w:sz w:val="14"/>
      </w:rPr>
      <w:t>E-mail</w:t>
    </w:r>
    <w:r>
      <w:rPr>
        <w:rStyle w:val="C3"/>
        <w:rFonts w:ascii="Arial" w:hAnsi="Arial"/>
        <w:sz w:val="14"/>
      </w:rPr>
      <w:t>: clearing@omiclear.pt</w:t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111"/>
      <w:jc w:val="right"/>
      <w:rPr>
        <w:rStyle w:val="C3"/>
      </w:rPr>
    </w:pPr>
    <w:r>
      <w:drawing>
        <wp:inline xmlns:wp="http://schemas.openxmlformats.org/drawingml/2006/wordprocessingDrawing">
          <wp:extent cx="1501775" cy="380365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501775" cy="380365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color w:val="595959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2013-09-18T12:45:00Z</dcterms:created>
  <cp:lastModifiedBy>Susana Mendes [OMIP]</cp:lastModifiedBy>
  <cp:lastPrinted>2008-10-06T13:39:00Z</cp:lastPrinted>
  <dcterms:modified xsi:type="dcterms:W3CDTF">2020-02-26T13:34:05Z</dcterms:modified>
  <cp:revision>11</cp:revision>
  <dc:title>FICHA DE ADMISSÃO DE MEMBRO COMPENSADOR</dc:title>
</cp:coreProperties>
</file>