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4D0F" w14:textId="77777777" w:rsidR="00224BBC" w:rsidRDefault="00224BBC" w:rsidP="009A01B9">
      <w:pPr>
        <w:pStyle w:val="Ttulo2"/>
        <w:spacing w:line="480" w:lineRule="auto"/>
        <w:ind w:right="395"/>
        <w:jc w:val="center"/>
        <w:rPr>
          <w:rFonts w:ascii="Garamond" w:hAnsi="Garamond" w:cstheme="minorHAnsi"/>
          <w:color w:val="000000" w:themeColor="text1"/>
          <w:sz w:val="24"/>
          <w:szCs w:val="24"/>
        </w:rPr>
      </w:pPr>
      <w:bookmarkStart w:id="0" w:name="_Toc77245565"/>
      <w:bookmarkStart w:id="1" w:name="_Toc82784329"/>
      <w:r w:rsidRPr="009A01B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 xml:space="preserve">ANEXO </w:t>
      </w:r>
      <w:r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IX</w:t>
      </w:r>
      <w:r w:rsidR="0077087A" w:rsidRPr="009A01B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77087A" w:rsidRPr="009A01B9">
        <w:rPr>
          <w:rFonts w:ascii="Garamond" w:hAnsi="Garamond" w:cstheme="minorHAnsi"/>
          <w:color w:val="000000" w:themeColor="text1"/>
          <w:sz w:val="24"/>
          <w:szCs w:val="24"/>
        </w:rPr>
        <w:t xml:space="preserve">(a que se refere a alínea </w:t>
      </w:r>
      <w:r w:rsidR="006A423B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j</w:t>
      </w:r>
      <w:r w:rsidR="0077087A" w:rsidRPr="009A01B9">
        <w:rPr>
          <w:rFonts w:ascii="Garamond" w:hAnsi="Garamond" w:cstheme="minorHAnsi"/>
          <w:i/>
          <w:color w:val="000000" w:themeColor="text1"/>
          <w:sz w:val="24"/>
          <w:szCs w:val="24"/>
        </w:rPr>
        <w:t>)</w:t>
      </w:r>
      <w:r w:rsidR="0077087A" w:rsidRPr="009A01B9">
        <w:rPr>
          <w:rFonts w:ascii="Garamond" w:hAnsi="Garamond" w:cstheme="minorHAnsi"/>
          <w:color w:val="000000" w:themeColor="text1"/>
          <w:sz w:val="24"/>
          <w:szCs w:val="24"/>
        </w:rPr>
        <w:t xml:space="preserve"> do n.º </w:t>
      </w:r>
      <w:r w:rsidR="009B62A9" w:rsidRPr="009A01B9">
        <w:rPr>
          <w:rFonts w:ascii="Garamond" w:hAnsi="Garamond" w:cstheme="minorHAnsi"/>
          <w:color w:val="000000" w:themeColor="text1"/>
          <w:sz w:val="24"/>
          <w:szCs w:val="24"/>
        </w:rPr>
        <w:t>3</w:t>
      </w:r>
      <w:r w:rsidR="0077087A" w:rsidRPr="009A01B9">
        <w:rPr>
          <w:rFonts w:ascii="Garamond" w:hAnsi="Garamond" w:cstheme="minorHAnsi"/>
          <w:color w:val="000000" w:themeColor="text1"/>
          <w:sz w:val="24"/>
          <w:szCs w:val="24"/>
        </w:rPr>
        <w:t xml:space="preserve"> do artigo 14.º)</w:t>
      </w:r>
    </w:p>
    <w:p w14:paraId="5D6B504D" w14:textId="6E6E5FC3" w:rsidR="0077087A" w:rsidRPr="00F55A68" w:rsidRDefault="0077087A" w:rsidP="00F55A68">
      <w:pPr>
        <w:pStyle w:val="Ttulo2"/>
        <w:spacing w:before="0" w:after="120" w:line="360" w:lineRule="auto"/>
        <w:ind w:right="397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9A01B9">
        <w:rPr>
          <w:rFonts w:ascii="Garamond" w:hAnsi="Garamond" w:cstheme="minorHAnsi"/>
          <w:color w:val="000000" w:themeColor="text1"/>
          <w:sz w:val="24"/>
          <w:szCs w:val="24"/>
        </w:rPr>
        <w:br/>
      </w:r>
      <w:r w:rsidRPr="009A01B9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DECLARAÇÃO DE ACEITAÇÃO DA JURISDIÇÃO DE CENTRO DE ARBITRAGEM INSTITUCIONALIZADO</w:t>
      </w:r>
      <w:bookmarkEnd w:id="0"/>
      <w:bookmarkEnd w:id="1"/>
    </w:p>
    <w:p w14:paraId="78F488DE" w14:textId="72F0E7B0" w:rsidR="0077087A" w:rsidRPr="009A01B9" w:rsidRDefault="00F121E4" w:rsidP="00F55A68">
      <w:pPr>
        <w:pStyle w:val="Corpodetexto"/>
        <w:tabs>
          <w:tab w:val="left" w:pos="8080"/>
        </w:tabs>
        <w:kinsoku w:val="0"/>
        <w:overflowPunct w:val="0"/>
        <w:spacing w:after="120" w:line="360" w:lineRule="auto"/>
        <w:ind w:right="397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 </w:t>
      </w:r>
      <w:r w:rsidRPr="009A01B9">
        <w:rPr>
          <w:rFonts w:ascii="Garamond" w:hAnsi="Garamond" w:cstheme="minorHAnsi"/>
        </w:rPr>
        <w:t>Transgás, S.A</w:t>
      </w:r>
      <w:r>
        <w:rPr>
          <w:rFonts w:ascii="Garamond" w:hAnsi="Garamond" w:cstheme="minorHAnsi"/>
        </w:rPr>
        <w:t>., enquanto o</w:t>
      </w:r>
      <w:r w:rsidR="0077087A" w:rsidRPr="009A01B9">
        <w:rPr>
          <w:rFonts w:ascii="Garamond" w:hAnsi="Garamond" w:cstheme="minorHAnsi"/>
        </w:rPr>
        <w:t xml:space="preserve"> </w:t>
      </w:r>
      <w:r w:rsidR="00E513F8" w:rsidRPr="009A01B9">
        <w:rPr>
          <w:rFonts w:ascii="Garamond" w:hAnsi="Garamond" w:cstheme="minorHAnsi"/>
        </w:rPr>
        <w:t>Comercializador de Último Recurso Grossista</w:t>
      </w:r>
      <w:r w:rsidR="0077087A" w:rsidRPr="009A01B9">
        <w:rPr>
          <w:rFonts w:ascii="Garamond" w:hAnsi="Garamond" w:cstheme="minorHAnsi"/>
        </w:rPr>
        <w:t>, e [</w:t>
      </w:r>
      <w:r w:rsidR="0077087A" w:rsidRPr="009A01B9">
        <w:rPr>
          <w:rFonts w:ascii="Garamond" w:hAnsi="Garamond" w:cstheme="minorHAnsi"/>
          <w:i/>
          <w:iCs/>
        </w:rPr>
        <w:t>Identificação do concorrente ou, em caso de agrupamento concorrente, identificação dos membros que constituem o agrupamento</w:t>
      </w:r>
      <w:r w:rsidR="0077087A" w:rsidRPr="009A01B9">
        <w:rPr>
          <w:rFonts w:ascii="Garamond" w:hAnsi="Garamond" w:cstheme="minorHAnsi"/>
        </w:rPr>
        <w:t>], aceitam atribuir a competência para a resolução de litígios relativos à validade, interpretação e execução dos ónus, direitos e obrigações previstos</w:t>
      </w:r>
      <w:r w:rsidR="0077087A" w:rsidRPr="009A01B9">
        <w:rPr>
          <w:rFonts w:ascii="Garamond" w:hAnsi="Garamond" w:cstheme="minorHAnsi"/>
          <w:spacing w:val="-9"/>
        </w:rPr>
        <w:t xml:space="preserve"> </w:t>
      </w:r>
      <w:r w:rsidR="0077087A" w:rsidRPr="009A01B9">
        <w:rPr>
          <w:rFonts w:ascii="Garamond" w:hAnsi="Garamond" w:cstheme="minorHAnsi"/>
        </w:rPr>
        <w:t>no</w:t>
      </w:r>
      <w:r w:rsidR="0077087A" w:rsidRPr="009A01B9">
        <w:rPr>
          <w:rFonts w:ascii="Garamond" w:hAnsi="Garamond" w:cstheme="minorHAnsi"/>
          <w:spacing w:val="-7"/>
        </w:rPr>
        <w:t xml:space="preserve"> </w:t>
      </w:r>
      <w:r w:rsidR="0077087A" w:rsidRPr="009A01B9">
        <w:rPr>
          <w:rFonts w:ascii="Garamond" w:hAnsi="Garamond" w:cstheme="minorHAnsi"/>
        </w:rPr>
        <w:t>Caderno</w:t>
      </w:r>
      <w:r w:rsidR="0077087A" w:rsidRPr="009A01B9">
        <w:rPr>
          <w:rFonts w:ascii="Garamond" w:hAnsi="Garamond" w:cstheme="minorHAnsi"/>
          <w:spacing w:val="-9"/>
        </w:rPr>
        <w:t xml:space="preserve"> </w:t>
      </w:r>
      <w:r w:rsidR="0077087A" w:rsidRPr="009A01B9">
        <w:rPr>
          <w:rFonts w:ascii="Garamond" w:hAnsi="Garamond" w:cstheme="minorHAnsi"/>
        </w:rPr>
        <w:t>de</w:t>
      </w:r>
      <w:r w:rsidR="0077087A" w:rsidRPr="009A01B9">
        <w:rPr>
          <w:rFonts w:ascii="Garamond" w:hAnsi="Garamond" w:cstheme="minorHAnsi"/>
          <w:spacing w:val="-7"/>
        </w:rPr>
        <w:t xml:space="preserve"> </w:t>
      </w:r>
      <w:r w:rsidR="0077087A" w:rsidRPr="009A01B9">
        <w:rPr>
          <w:rFonts w:ascii="Garamond" w:hAnsi="Garamond" w:cstheme="minorHAnsi"/>
        </w:rPr>
        <w:t>Encargos</w:t>
      </w:r>
      <w:r w:rsidR="0077087A" w:rsidRPr="009A01B9">
        <w:rPr>
          <w:rFonts w:ascii="Garamond" w:hAnsi="Garamond" w:cstheme="minorHAnsi"/>
          <w:spacing w:val="-8"/>
        </w:rPr>
        <w:t xml:space="preserve"> </w:t>
      </w:r>
      <w:r w:rsidR="00AA0900">
        <w:rPr>
          <w:rFonts w:ascii="Garamond" w:hAnsi="Garamond" w:cstheme="minorHAnsi"/>
        </w:rPr>
        <w:t>do</w:t>
      </w:r>
      <w:r w:rsidR="00AA0900" w:rsidRPr="00584DDE">
        <w:rPr>
          <w:rFonts w:ascii="Garamond" w:hAnsi="Garamond" w:cstheme="minorHAnsi"/>
        </w:rPr>
        <w:t xml:space="preserve"> </w:t>
      </w:r>
      <w:r w:rsidR="00AA0900" w:rsidRPr="00734DD6">
        <w:rPr>
          <w:rFonts w:ascii="Garamond" w:hAnsi="Garamond" w:cstheme="minorHAnsi"/>
        </w:rPr>
        <w:t xml:space="preserve">procedimento concorrencial </w:t>
      </w:r>
      <w:r w:rsidR="00AA0900" w:rsidRPr="00916A08">
        <w:rPr>
          <w:rFonts w:ascii="Garamond" w:hAnsi="Garamond" w:cstheme="minorHAnsi"/>
        </w:rPr>
        <w:t xml:space="preserve">para </w:t>
      </w:r>
      <w:r w:rsidR="00AA0900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9E4FB1">
        <w:rPr>
          <w:rFonts w:ascii="Garamond" w:hAnsi="Garamond" w:cstheme="minorHAnsi"/>
        </w:rPr>
        <w:t>Pública</w:t>
      </w:r>
      <w:r w:rsidR="00AA0900" w:rsidRPr="00731441">
        <w:rPr>
          <w:rFonts w:ascii="Garamond" w:hAnsi="Garamond" w:cstheme="minorHAnsi"/>
        </w:rPr>
        <w:t xml:space="preserve"> de Gás</w:t>
      </w:r>
      <w:r w:rsidR="00AA0900" w:rsidRPr="00731441">
        <w:rPr>
          <w:rStyle w:val="Refdenotaderodap"/>
          <w:rFonts w:ascii="Garamond" w:hAnsi="Garamond" w:cstheme="minorHAnsi"/>
        </w:rPr>
        <w:footnoteReference w:id="2"/>
      </w:r>
      <w:r w:rsidR="00E81F56">
        <w:rPr>
          <w:rFonts w:ascii="Garamond" w:hAnsi="Garamond" w:cstheme="minorHAnsi"/>
        </w:rPr>
        <w:t xml:space="preserve">, </w:t>
      </w:r>
      <w:r w:rsidR="0077087A" w:rsidRPr="009A01B9">
        <w:rPr>
          <w:rFonts w:ascii="Garamond" w:hAnsi="Garamond" w:cstheme="minorHAnsi"/>
        </w:rPr>
        <w:t>ao Centro de Arbitragem da Câmara de Comércio e Indústria Portuguesa, de acordo com os respetivos</w:t>
      </w:r>
      <w:r w:rsidR="0077087A" w:rsidRPr="009A01B9">
        <w:rPr>
          <w:rFonts w:ascii="Garamond" w:hAnsi="Garamond" w:cstheme="minorHAnsi"/>
          <w:spacing w:val="-7"/>
        </w:rPr>
        <w:t xml:space="preserve"> </w:t>
      </w:r>
      <w:r w:rsidR="0077087A" w:rsidRPr="009A01B9">
        <w:rPr>
          <w:rFonts w:ascii="Garamond" w:hAnsi="Garamond" w:cstheme="minorHAnsi"/>
        </w:rPr>
        <w:t>regulamentos.</w:t>
      </w:r>
    </w:p>
    <w:p w14:paraId="3F18C3D1" w14:textId="77777777" w:rsidR="0077087A" w:rsidRPr="009A01B9" w:rsidRDefault="0077087A" w:rsidP="00F55A68">
      <w:pPr>
        <w:pStyle w:val="Corpodetexto"/>
        <w:kinsoku w:val="0"/>
        <w:overflowPunct w:val="0"/>
        <w:spacing w:after="120" w:line="360" w:lineRule="auto"/>
        <w:ind w:right="397"/>
        <w:rPr>
          <w:rFonts w:ascii="Garamond" w:hAnsi="Garamond" w:cstheme="minorHAnsi"/>
        </w:rPr>
      </w:pPr>
    </w:p>
    <w:p w14:paraId="341CF43B" w14:textId="0A82D11E" w:rsidR="0077087A" w:rsidRPr="009A01B9" w:rsidRDefault="00B270A0" w:rsidP="00F55A68">
      <w:pPr>
        <w:pStyle w:val="Corpodetexto"/>
        <w:kinsoku w:val="0"/>
        <w:overflowPunct w:val="0"/>
        <w:spacing w:after="120" w:line="360" w:lineRule="auto"/>
        <w:ind w:right="397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______________________________________</w:t>
      </w:r>
    </w:p>
    <w:p w14:paraId="55D243F7" w14:textId="52AFDB74" w:rsidR="0077087A" w:rsidRPr="009A01B9" w:rsidRDefault="0077087A" w:rsidP="00F55A68">
      <w:pPr>
        <w:pStyle w:val="Corpodetexto"/>
        <w:kinsoku w:val="0"/>
        <w:overflowPunct w:val="0"/>
        <w:spacing w:after="120" w:line="360" w:lineRule="auto"/>
        <w:ind w:right="397"/>
        <w:jc w:val="center"/>
        <w:rPr>
          <w:rFonts w:ascii="Garamond" w:hAnsi="Garamond" w:cstheme="minorHAnsi"/>
        </w:rPr>
      </w:pPr>
      <w:r w:rsidRPr="009A01B9">
        <w:rPr>
          <w:rFonts w:ascii="Garamond" w:hAnsi="Garamond" w:cstheme="minorHAnsi"/>
        </w:rPr>
        <w:t>[</w:t>
      </w:r>
      <w:r w:rsidRPr="009A01B9">
        <w:rPr>
          <w:rFonts w:ascii="Garamond" w:hAnsi="Garamond" w:cstheme="minorHAnsi"/>
          <w:i/>
          <w:iCs/>
        </w:rPr>
        <w:t>Data e assinatura dos</w:t>
      </w:r>
      <w:r w:rsidRPr="009A01B9">
        <w:rPr>
          <w:rFonts w:ascii="Garamond" w:hAnsi="Garamond" w:cstheme="minorHAnsi"/>
          <w:i/>
          <w:iCs/>
          <w:spacing w:val="-16"/>
        </w:rPr>
        <w:t xml:space="preserve"> </w:t>
      </w:r>
      <w:r w:rsidRPr="009A01B9">
        <w:rPr>
          <w:rFonts w:ascii="Garamond" w:hAnsi="Garamond" w:cstheme="minorHAnsi"/>
          <w:i/>
          <w:iCs/>
        </w:rPr>
        <w:t>subscritores</w:t>
      </w:r>
      <w:r w:rsidRPr="009A01B9">
        <w:rPr>
          <w:rFonts w:ascii="Garamond" w:hAnsi="Garamond" w:cstheme="minorHAnsi"/>
        </w:rPr>
        <w:t>]</w:t>
      </w:r>
    </w:p>
    <w:p w14:paraId="7E862DF9" w14:textId="77777777" w:rsidR="0093725A" w:rsidRPr="009A01B9" w:rsidRDefault="0093725A" w:rsidP="009A01B9">
      <w:pPr>
        <w:rPr>
          <w:rFonts w:ascii="Garamond" w:hAnsi="Garamond"/>
          <w:sz w:val="24"/>
          <w:szCs w:val="24"/>
        </w:rPr>
      </w:pPr>
    </w:p>
    <w:sectPr w:rsidR="0093725A" w:rsidRPr="009A01B9" w:rsidSect="00890349">
      <w:headerReference w:type="default" r:id="rId10"/>
      <w:footerReference w:type="default" r:id="rId11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C32F" w14:textId="77777777" w:rsidR="00850806" w:rsidRDefault="00850806" w:rsidP="00FC27E3">
      <w:r>
        <w:separator/>
      </w:r>
    </w:p>
  </w:endnote>
  <w:endnote w:type="continuationSeparator" w:id="0">
    <w:p w14:paraId="2A367CAD" w14:textId="77777777" w:rsidR="00850806" w:rsidRDefault="00850806" w:rsidP="00FC27E3">
      <w:r>
        <w:continuationSeparator/>
      </w:r>
    </w:p>
  </w:endnote>
  <w:endnote w:type="continuationNotice" w:id="1">
    <w:p w14:paraId="16E6F5CF" w14:textId="77777777" w:rsidR="00850806" w:rsidRDefault="00850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063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0FB7A" w14:textId="646A2D33" w:rsidR="00890349" w:rsidRDefault="0089034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4A2B6" w14:textId="77777777" w:rsidR="00890349" w:rsidRDefault="00890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2AAA" w14:textId="77777777" w:rsidR="00850806" w:rsidRDefault="00850806" w:rsidP="00FC27E3">
      <w:r>
        <w:separator/>
      </w:r>
    </w:p>
  </w:footnote>
  <w:footnote w:type="continuationSeparator" w:id="0">
    <w:p w14:paraId="52E8EBD2" w14:textId="77777777" w:rsidR="00850806" w:rsidRDefault="00850806" w:rsidP="00FC27E3">
      <w:r>
        <w:continuationSeparator/>
      </w:r>
    </w:p>
  </w:footnote>
  <w:footnote w:type="continuationNotice" w:id="1">
    <w:p w14:paraId="74EA4BCD" w14:textId="77777777" w:rsidR="00850806" w:rsidRDefault="00850806"/>
  </w:footnote>
  <w:footnote w:id="2">
    <w:p w14:paraId="20AD81F5" w14:textId="41F1C59A" w:rsidR="00AA0900" w:rsidRPr="009E4FB1" w:rsidRDefault="00AA0900" w:rsidP="00AA0900">
      <w:pPr>
        <w:pStyle w:val="Textodenotaderodap"/>
        <w:jc w:val="both"/>
        <w:rPr>
          <w:rFonts w:ascii="Garamond" w:hAnsi="Garamond"/>
        </w:rPr>
      </w:pPr>
      <w:r w:rsidRPr="009E4FB1">
        <w:rPr>
          <w:rStyle w:val="Refdenotaderodap"/>
          <w:rFonts w:ascii="Garamond" w:hAnsi="Garamond" w:cstheme="minorHAnsi"/>
        </w:rPr>
        <w:footnoteRef/>
      </w:r>
      <w:r w:rsidRPr="009E4FB1">
        <w:rPr>
          <w:rFonts w:ascii="Garamond" w:hAnsi="Garamond" w:cstheme="minorHAnsi"/>
        </w:rPr>
        <w:t xml:space="preserve"> </w:t>
      </w:r>
      <w:r w:rsidR="009E4FB1" w:rsidRPr="009E4FB1">
        <w:rPr>
          <w:rFonts w:ascii="Garamond" w:hAnsi="Garamond"/>
        </w:rPr>
        <w:t>No âmbito do presente procedimento concorrencial entende-se, por simplificação, que a Rede Pública de Gás se circunscreve  ao conjunto das infraestruturas de serviço público que integram a Rede Nacional de Transporte de Gás e a Rede Nacional de Distribuição de Gás</w:t>
      </w:r>
      <w:r w:rsidRPr="009E4FB1">
        <w:rPr>
          <w:rFonts w:ascii="Garamond" w:hAnsi="Garamond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E54A" w14:textId="1700B890" w:rsidR="00890349" w:rsidRDefault="00890349">
    <w:pPr>
      <w:pStyle w:val="Cabealho"/>
      <w:jc w:val="right"/>
    </w:pPr>
  </w:p>
  <w:p w14:paraId="24634120" w14:textId="77777777" w:rsidR="00890349" w:rsidRDefault="008903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5"/>
    <w:multiLevelType w:val="multilevel"/>
    <w:tmpl w:val="4B208D56"/>
    <w:lvl w:ilvl="0">
      <w:start w:val="1"/>
      <w:numFmt w:val="decimal"/>
      <w:lvlText w:val="(%1)"/>
      <w:lvlJc w:val="left"/>
      <w:pPr>
        <w:ind w:left="1020" w:hanging="257"/>
      </w:pPr>
      <w:rPr>
        <w:rFonts w:ascii="Book Antiqua" w:hAnsi="Book Antiqua" w:cs="Book Antiqua"/>
        <w:b w:val="0"/>
        <w:bCs w:val="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882" w:hanging="360"/>
      </w:pPr>
      <w:rPr>
        <w:rFonts w:asciiTheme="minorHAnsi" w:hAnsiTheme="minorHAnsi" w:cstheme="minorHAnsi" w:hint="default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2602" w:hanging="360"/>
      </w:pPr>
      <w:rPr>
        <w:rFonts w:asciiTheme="minorHAnsi" w:hAnsiTheme="minorHAnsi" w:cstheme="minorHAnsi" w:hint="default"/>
        <w:b w:val="0"/>
        <w:bCs w:val="0"/>
        <w:i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776" w:hanging="360"/>
      </w:pPr>
    </w:lvl>
    <w:lvl w:ilvl="5">
      <w:numFmt w:val="bullet"/>
      <w:lvlText w:val="•"/>
      <w:lvlJc w:val="left"/>
      <w:pPr>
        <w:ind w:left="5864" w:hanging="360"/>
      </w:pPr>
    </w:lvl>
    <w:lvl w:ilvl="6">
      <w:numFmt w:val="bullet"/>
      <w:lvlText w:val="•"/>
      <w:lvlJc w:val="left"/>
      <w:pPr>
        <w:ind w:left="6953" w:hanging="360"/>
      </w:pPr>
    </w:lvl>
    <w:lvl w:ilvl="7">
      <w:numFmt w:val="bullet"/>
      <w:lvlText w:val="•"/>
      <w:lvlJc w:val="left"/>
      <w:pPr>
        <w:ind w:left="8041" w:hanging="360"/>
      </w:pPr>
    </w:lvl>
    <w:lvl w:ilvl="8">
      <w:numFmt w:val="bullet"/>
      <w:lvlText w:val="•"/>
      <w:lvlJc w:val="left"/>
      <w:pPr>
        <w:ind w:left="9129" w:hanging="360"/>
      </w:pPr>
    </w:lvl>
  </w:abstractNum>
  <w:abstractNum w:abstractNumId="1" w15:restartNumberingAfterBreak="0">
    <w:nsid w:val="00000437"/>
    <w:multiLevelType w:val="multilevel"/>
    <w:tmpl w:val="CA54B576"/>
    <w:lvl w:ilvl="0">
      <w:start w:val="1"/>
      <w:numFmt w:val="decimal"/>
      <w:lvlText w:val="%1."/>
      <w:lvlJc w:val="left"/>
      <w:pPr>
        <w:ind w:left="1882" w:hanging="360"/>
      </w:pPr>
      <w:rPr>
        <w:rFonts w:asciiTheme="minorHAnsi" w:eastAsiaTheme="minorEastAsia" w:hAnsiTheme="minorHAnsi" w:cstheme="minorHAnsi"/>
        <w:b w:val="0"/>
        <w:bCs w:val="0"/>
        <w:w w:val="100"/>
        <w:sz w:val="24"/>
        <w:szCs w:val="24"/>
      </w:rPr>
    </w:lvl>
    <w:lvl w:ilvl="1">
      <w:start w:val="1"/>
      <w:numFmt w:val="lowerRoman"/>
      <w:lvlText w:val="%2)"/>
      <w:lvlJc w:val="left"/>
      <w:pPr>
        <w:ind w:left="2602" w:hanging="360"/>
      </w:pPr>
      <w:rPr>
        <w:rFonts w:asciiTheme="minorHAnsi" w:hAnsiTheme="minorHAnsi" w:cstheme="minorHAnsi" w:hint="default"/>
        <w:b w:val="0"/>
        <w:bCs w:val="0"/>
        <w:i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567" w:hanging="360"/>
      </w:pPr>
    </w:lvl>
    <w:lvl w:ilvl="3">
      <w:numFmt w:val="bullet"/>
      <w:lvlText w:val="•"/>
      <w:lvlJc w:val="left"/>
      <w:pPr>
        <w:ind w:left="4534" w:hanging="360"/>
      </w:pPr>
    </w:lvl>
    <w:lvl w:ilvl="4">
      <w:numFmt w:val="bullet"/>
      <w:lvlText w:val="•"/>
      <w:lvlJc w:val="left"/>
      <w:pPr>
        <w:ind w:left="5502" w:hanging="360"/>
      </w:pPr>
    </w:lvl>
    <w:lvl w:ilvl="5">
      <w:numFmt w:val="bullet"/>
      <w:lvlText w:val="•"/>
      <w:lvlJc w:val="left"/>
      <w:pPr>
        <w:ind w:left="6469" w:hanging="360"/>
      </w:pPr>
    </w:lvl>
    <w:lvl w:ilvl="6">
      <w:numFmt w:val="bullet"/>
      <w:lvlText w:val="•"/>
      <w:lvlJc w:val="left"/>
      <w:pPr>
        <w:ind w:left="7436" w:hanging="360"/>
      </w:pPr>
    </w:lvl>
    <w:lvl w:ilvl="7">
      <w:numFmt w:val="bullet"/>
      <w:lvlText w:val="•"/>
      <w:lvlJc w:val="left"/>
      <w:pPr>
        <w:ind w:left="8404" w:hanging="360"/>
      </w:pPr>
    </w:lvl>
    <w:lvl w:ilvl="8">
      <w:numFmt w:val="bullet"/>
      <w:lvlText w:val="•"/>
      <w:lvlJc w:val="left"/>
      <w:pPr>
        <w:ind w:left="9371" w:hanging="360"/>
      </w:pPr>
    </w:lvl>
  </w:abstractNum>
  <w:num w:numId="1" w16cid:durableId="713695292">
    <w:abstractNumId w:val="0"/>
  </w:num>
  <w:num w:numId="2" w16cid:durableId="87431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MLU0sTAyMjEzNjSyUdpeDU4uLM/DyQAqNaAE9aSVssAAAA"/>
  </w:docVars>
  <w:rsids>
    <w:rsidRoot w:val="009002AC"/>
    <w:rsid w:val="000343B2"/>
    <w:rsid w:val="001B52C9"/>
    <w:rsid w:val="00224BBC"/>
    <w:rsid w:val="002B613A"/>
    <w:rsid w:val="0035103B"/>
    <w:rsid w:val="00451445"/>
    <w:rsid w:val="00475085"/>
    <w:rsid w:val="004D38B2"/>
    <w:rsid w:val="004F7FF4"/>
    <w:rsid w:val="005D1EA0"/>
    <w:rsid w:val="006768C8"/>
    <w:rsid w:val="006A423B"/>
    <w:rsid w:val="0077087A"/>
    <w:rsid w:val="00785BD8"/>
    <w:rsid w:val="007C7846"/>
    <w:rsid w:val="00850806"/>
    <w:rsid w:val="00875DBF"/>
    <w:rsid w:val="008760A5"/>
    <w:rsid w:val="00890349"/>
    <w:rsid w:val="008A6531"/>
    <w:rsid w:val="009002AC"/>
    <w:rsid w:val="00903671"/>
    <w:rsid w:val="0093725A"/>
    <w:rsid w:val="009A01B9"/>
    <w:rsid w:val="009B62A9"/>
    <w:rsid w:val="009E4FB1"/>
    <w:rsid w:val="00AA0900"/>
    <w:rsid w:val="00AA6D81"/>
    <w:rsid w:val="00B270A0"/>
    <w:rsid w:val="00B47E9F"/>
    <w:rsid w:val="00B91513"/>
    <w:rsid w:val="00C10445"/>
    <w:rsid w:val="00CC3677"/>
    <w:rsid w:val="00DC65AB"/>
    <w:rsid w:val="00E364E3"/>
    <w:rsid w:val="00E513F8"/>
    <w:rsid w:val="00E81F56"/>
    <w:rsid w:val="00EA6BDA"/>
    <w:rsid w:val="00EA79FB"/>
    <w:rsid w:val="00EF4DFB"/>
    <w:rsid w:val="00F121E4"/>
    <w:rsid w:val="00F40668"/>
    <w:rsid w:val="00F50A3F"/>
    <w:rsid w:val="00F52166"/>
    <w:rsid w:val="00F55A68"/>
    <w:rsid w:val="00F71E1E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1640"/>
  <w15:chartTrackingRefBased/>
  <w15:docId w15:val="{6C685CE3-DDF8-46E8-AE49-76AE386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8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002A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002AC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002A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002AC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C27E3"/>
    <w:pPr>
      <w:ind w:left="1162" w:hanging="360"/>
      <w:jc w:val="both"/>
    </w:pPr>
    <w:rPr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C27E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C27E3"/>
    <w:rPr>
      <w:rFonts w:ascii="Book Antiqua" w:eastAsiaTheme="minorEastAsia" w:hAnsi="Book Antiqua" w:cs="Book Antiqu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C27E3"/>
    <w:rPr>
      <w:vertAlign w:val="superscript"/>
    </w:rPr>
  </w:style>
  <w:style w:type="paragraph" w:styleId="Reviso">
    <w:name w:val="Revision"/>
    <w:hidden/>
    <w:uiPriority w:val="99"/>
    <w:semiHidden/>
    <w:rsid w:val="00B91513"/>
    <w:pPr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9151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9151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91513"/>
    <w:rPr>
      <w:rFonts w:ascii="Book Antiqua" w:eastAsiaTheme="minorEastAsia" w:hAnsi="Book Antiqua" w:cs="Book Antiqu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9151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91513"/>
    <w:rPr>
      <w:rFonts w:ascii="Book Antiqua" w:eastAsiaTheme="minorEastAsia" w:hAnsi="Book Antiqua" w:cs="Book Antiqua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A01B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A01B9"/>
    <w:rPr>
      <w:rFonts w:ascii="Segoe UI" w:eastAsiaTheme="minorEastAsia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9034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0349"/>
    <w:rPr>
      <w:rFonts w:ascii="Book Antiqua" w:eastAsiaTheme="minorEastAsia" w:hAnsi="Book Antiqua" w:cs="Book Antiqu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9034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349"/>
    <w:rPr>
      <w:rFonts w:ascii="Book Antiqua" w:eastAsiaTheme="minorEastAsia" w:hAnsi="Book Antiqua" w:cs="Book Antiqu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Props1.xml><?xml version="1.0" encoding="utf-8"?>
<ds:datastoreItem xmlns:ds="http://schemas.openxmlformats.org/officeDocument/2006/customXml" ds:itemID="{7A9577BB-5211-4915-BBC4-90A9A5C2E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8D994-A4E5-46C9-84EA-7EFB0946B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1F8AD-125E-4057-9864-2E0EE62C2F88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3</cp:revision>
  <cp:lastPrinted>2023-07-11T10:02:00Z</cp:lastPrinted>
  <dcterms:created xsi:type="dcterms:W3CDTF">2024-05-28T09:33:00Z</dcterms:created>
  <dcterms:modified xsi:type="dcterms:W3CDTF">2024-05-28T09:44:00Z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42ccdd72f51c6b8e2771e8d6a02c02b7219a2bf2c4b81a4d3a94088a36a940c4</vt:lpwstr>
  </property>
  <property fmtid="{D5CDD505-2E9C-101B-9397-08002B2CF9AE}" pid="4" name="MediaServiceImageTags">
    <vt:lpwstr/>
  </property>
</Properties>
</file>