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D39E" w14:textId="614FBC44" w:rsidR="005D3324" w:rsidRDefault="002C7EAC" w:rsidP="005D3324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color w:val="000000" w:themeColor="text1"/>
          <w:sz w:val="24"/>
          <w:szCs w:val="24"/>
        </w:rPr>
      </w:pPr>
      <w:bookmarkStart w:id="0" w:name="_Toc82784328"/>
      <w:r w:rsidRPr="000C581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ANEXO V</w:t>
      </w:r>
      <w:r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I</w:t>
      </w:r>
      <w:r w:rsidRPr="000C581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II</w:t>
      </w:r>
      <w:r w:rsidR="00B47E9F" w:rsidRPr="000C581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br/>
      </w:r>
      <w:r w:rsidR="00B47E9F" w:rsidRPr="000C5816">
        <w:rPr>
          <w:rFonts w:ascii="Garamond" w:hAnsi="Garamond" w:cstheme="minorHAnsi"/>
          <w:color w:val="000000" w:themeColor="text1"/>
          <w:sz w:val="24"/>
          <w:szCs w:val="24"/>
        </w:rPr>
        <w:t xml:space="preserve">(a que se refere a alínea </w:t>
      </w:r>
      <w:r w:rsidR="003D67E1" w:rsidRPr="003D67E1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b</w:t>
      </w:r>
      <w:r w:rsidR="00B47E9F" w:rsidRPr="000C5816">
        <w:rPr>
          <w:rFonts w:ascii="Garamond" w:hAnsi="Garamond" w:cstheme="minorHAnsi"/>
          <w:i/>
          <w:color w:val="000000" w:themeColor="text1"/>
          <w:sz w:val="24"/>
          <w:szCs w:val="24"/>
        </w:rPr>
        <w:t>)</w:t>
      </w:r>
      <w:r w:rsidR="00B47E9F" w:rsidRPr="000C5816">
        <w:rPr>
          <w:rFonts w:ascii="Garamond" w:hAnsi="Garamond" w:cstheme="minorHAnsi"/>
          <w:color w:val="000000" w:themeColor="text1"/>
          <w:sz w:val="24"/>
          <w:szCs w:val="24"/>
        </w:rPr>
        <w:t xml:space="preserve"> do n.º </w:t>
      </w:r>
      <w:r w:rsidR="00B0297B" w:rsidRPr="000C5816">
        <w:rPr>
          <w:rFonts w:ascii="Garamond" w:hAnsi="Garamond" w:cstheme="minorHAnsi"/>
          <w:color w:val="000000" w:themeColor="text1"/>
          <w:sz w:val="24"/>
          <w:szCs w:val="24"/>
        </w:rPr>
        <w:t>3</w:t>
      </w:r>
      <w:r w:rsidR="00B47E9F" w:rsidRPr="000C5816">
        <w:rPr>
          <w:rFonts w:ascii="Garamond" w:hAnsi="Garamond" w:cstheme="minorHAnsi"/>
          <w:color w:val="000000" w:themeColor="text1"/>
          <w:sz w:val="24"/>
          <w:szCs w:val="24"/>
        </w:rPr>
        <w:t xml:space="preserve"> do artigo 14.º</w:t>
      </w:r>
      <w:r w:rsidR="0040457E">
        <w:rPr>
          <w:rFonts w:ascii="Garamond" w:hAnsi="Garamond" w:cstheme="minorHAnsi"/>
          <w:color w:val="000000" w:themeColor="text1"/>
          <w:sz w:val="24"/>
          <w:szCs w:val="24"/>
        </w:rPr>
        <w:t xml:space="preserve"> e a alínea</w:t>
      </w:r>
      <w:r w:rsidR="00B47E9F" w:rsidRPr="000C5816">
        <w:rPr>
          <w:rFonts w:ascii="Garamond" w:hAnsi="Garamond" w:cstheme="minorHAnsi"/>
          <w:color w:val="000000" w:themeColor="text1"/>
          <w:sz w:val="24"/>
          <w:szCs w:val="24"/>
        </w:rPr>
        <w:t>)</w:t>
      </w:r>
      <w:r w:rsidR="0040457E">
        <w:rPr>
          <w:rFonts w:ascii="Garamond" w:hAnsi="Garamond" w:cstheme="minorHAnsi"/>
          <w:color w:val="000000" w:themeColor="text1"/>
          <w:sz w:val="24"/>
          <w:szCs w:val="24"/>
        </w:rPr>
        <w:t xml:space="preserve"> e a alínea</w:t>
      </w:r>
      <w:r w:rsidR="005E66EA">
        <w:rPr>
          <w:rFonts w:ascii="Garamond" w:hAnsi="Garamond" w:cstheme="minorHAnsi"/>
          <w:color w:val="000000" w:themeColor="text1"/>
          <w:sz w:val="24"/>
          <w:szCs w:val="24"/>
        </w:rPr>
        <w:t xml:space="preserve"> </w:t>
      </w:r>
      <w:r w:rsidR="005E66EA" w:rsidRPr="005E66EA">
        <w:rPr>
          <w:rFonts w:ascii="Garamond" w:hAnsi="Garamond" w:cstheme="minorHAnsi"/>
          <w:i/>
          <w:iCs/>
          <w:color w:val="000000" w:themeColor="text1"/>
          <w:sz w:val="24"/>
          <w:szCs w:val="24"/>
        </w:rPr>
        <w:t>c</w:t>
      </w:r>
      <w:r w:rsidR="005E66EA">
        <w:rPr>
          <w:rFonts w:ascii="Garamond" w:hAnsi="Garamond" w:cstheme="minorHAnsi"/>
          <w:color w:val="000000" w:themeColor="text1"/>
          <w:sz w:val="24"/>
          <w:szCs w:val="24"/>
        </w:rPr>
        <w:t>) do n.º 4 do artigo 16.º</w:t>
      </w:r>
      <w:r w:rsidR="00B47E9F" w:rsidRPr="000C5816">
        <w:rPr>
          <w:rFonts w:ascii="Garamond" w:hAnsi="Garamond" w:cstheme="minorHAnsi"/>
          <w:color w:val="000000" w:themeColor="text1"/>
          <w:sz w:val="24"/>
          <w:szCs w:val="24"/>
        </w:rPr>
        <w:t>)</w:t>
      </w:r>
    </w:p>
    <w:p w14:paraId="7E2A493E" w14:textId="0B313C23" w:rsidR="00B47E9F" w:rsidRPr="005D3324" w:rsidRDefault="00B47E9F" w:rsidP="005D3324">
      <w:pPr>
        <w:pStyle w:val="Ttulo2"/>
        <w:spacing w:before="0" w:after="120" w:line="360" w:lineRule="auto"/>
        <w:ind w:right="395"/>
        <w:jc w:val="center"/>
        <w:rPr>
          <w:rFonts w:ascii="Garamond" w:hAnsi="Garamond" w:cstheme="minorHAnsi"/>
          <w:b/>
          <w:bCs/>
          <w:color w:val="000000" w:themeColor="text1"/>
          <w:sz w:val="24"/>
          <w:szCs w:val="24"/>
        </w:rPr>
      </w:pPr>
      <w:r w:rsidRPr="000C5816">
        <w:rPr>
          <w:rFonts w:ascii="Garamond" w:hAnsi="Garamond" w:cstheme="minorHAnsi"/>
          <w:color w:val="000000" w:themeColor="text1"/>
          <w:sz w:val="24"/>
          <w:szCs w:val="24"/>
        </w:rPr>
        <w:br/>
      </w:r>
      <w:r w:rsidRPr="000C5816">
        <w:rPr>
          <w:rFonts w:ascii="Garamond" w:hAnsi="Garamond" w:cstheme="minorHAnsi"/>
          <w:b/>
          <w:bCs/>
          <w:color w:val="000000" w:themeColor="text1"/>
          <w:sz w:val="24"/>
          <w:szCs w:val="24"/>
        </w:rPr>
        <w:t>DECLARAÇÃO DE COMPROMISSO DE NÃO COLUSÃO</w:t>
      </w:r>
      <w:bookmarkEnd w:id="0"/>
    </w:p>
    <w:p w14:paraId="0B0812B9" w14:textId="6242DA38" w:rsidR="007023C0" w:rsidRPr="000C5816" w:rsidRDefault="00B47E9F" w:rsidP="000C5816">
      <w:pPr>
        <w:pStyle w:val="Corpodetexto"/>
        <w:kinsoku w:val="0"/>
        <w:overflowPunct w:val="0"/>
        <w:spacing w:after="120" w:line="360" w:lineRule="auto"/>
        <w:ind w:left="142" w:right="-139"/>
        <w:jc w:val="both"/>
        <w:rPr>
          <w:rFonts w:ascii="Garamond" w:hAnsi="Garamond" w:cstheme="minorHAnsi"/>
        </w:rPr>
      </w:pPr>
      <w:r w:rsidRPr="000C5816">
        <w:rPr>
          <w:rFonts w:ascii="Garamond" w:hAnsi="Garamond" w:cstheme="minorHAnsi"/>
        </w:rPr>
        <w:t>[</w:t>
      </w:r>
      <w:r w:rsidRPr="000C5816">
        <w:rPr>
          <w:rFonts w:ascii="Garamond" w:hAnsi="Garamond" w:cstheme="minorHAnsi"/>
          <w:i/>
          <w:iCs/>
        </w:rPr>
        <w:t>Identificação do representante legal do concorrente</w:t>
      </w:r>
      <w:r w:rsidRPr="000C5816">
        <w:rPr>
          <w:rFonts w:ascii="Garamond" w:hAnsi="Garamond" w:cstheme="minorHAnsi"/>
        </w:rPr>
        <w:t>],</w:t>
      </w:r>
      <w:r w:rsidRPr="000C5816">
        <w:rPr>
          <w:rFonts w:ascii="Garamond" w:hAnsi="Garamond" w:cstheme="minorHAnsi"/>
          <w:spacing w:val="-12"/>
        </w:rPr>
        <w:t xml:space="preserve"> </w:t>
      </w:r>
      <w:r w:rsidRPr="000C5816">
        <w:rPr>
          <w:rFonts w:ascii="Garamond" w:hAnsi="Garamond" w:cstheme="minorHAnsi"/>
        </w:rPr>
        <w:t>na</w:t>
      </w:r>
      <w:r w:rsidRPr="000C5816">
        <w:rPr>
          <w:rFonts w:ascii="Garamond" w:hAnsi="Garamond" w:cstheme="minorHAnsi"/>
          <w:spacing w:val="-13"/>
        </w:rPr>
        <w:t xml:space="preserve"> </w:t>
      </w:r>
      <w:r w:rsidRPr="000C5816">
        <w:rPr>
          <w:rFonts w:ascii="Garamond" w:hAnsi="Garamond" w:cstheme="minorHAnsi"/>
        </w:rPr>
        <w:t>qualidade</w:t>
      </w:r>
      <w:r w:rsidRPr="000C5816">
        <w:rPr>
          <w:rFonts w:ascii="Garamond" w:hAnsi="Garamond" w:cstheme="minorHAnsi"/>
          <w:spacing w:val="-12"/>
        </w:rPr>
        <w:t xml:space="preserve"> </w:t>
      </w:r>
      <w:r w:rsidRPr="000C5816">
        <w:rPr>
          <w:rFonts w:ascii="Garamond" w:hAnsi="Garamond" w:cstheme="minorHAnsi"/>
        </w:rPr>
        <w:t>de</w:t>
      </w:r>
      <w:r w:rsidRPr="000C5816">
        <w:rPr>
          <w:rFonts w:ascii="Garamond" w:hAnsi="Garamond" w:cstheme="minorHAnsi"/>
          <w:spacing w:val="-12"/>
        </w:rPr>
        <w:t xml:space="preserve"> </w:t>
      </w:r>
      <w:r w:rsidRPr="000C5816">
        <w:rPr>
          <w:rFonts w:ascii="Garamond" w:hAnsi="Garamond" w:cstheme="minorHAnsi"/>
        </w:rPr>
        <w:t>representante</w:t>
      </w:r>
      <w:r w:rsidRPr="000C5816">
        <w:rPr>
          <w:rFonts w:ascii="Garamond" w:hAnsi="Garamond" w:cstheme="minorHAnsi"/>
          <w:spacing w:val="-12"/>
        </w:rPr>
        <w:t xml:space="preserve"> </w:t>
      </w:r>
      <w:r w:rsidRPr="000C5816">
        <w:rPr>
          <w:rFonts w:ascii="Garamond" w:hAnsi="Garamond" w:cstheme="minorHAnsi"/>
        </w:rPr>
        <w:t>legal</w:t>
      </w:r>
      <w:r w:rsidRPr="000C5816">
        <w:rPr>
          <w:rFonts w:ascii="Garamond" w:hAnsi="Garamond" w:cstheme="minorHAnsi"/>
          <w:spacing w:val="-10"/>
        </w:rPr>
        <w:t xml:space="preserve"> </w:t>
      </w:r>
      <w:r w:rsidRPr="000C5816">
        <w:rPr>
          <w:rFonts w:ascii="Garamond" w:hAnsi="Garamond" w:cstheme="minorHAnsi"/>
        </w:rPr>
        <w:t>do</w:t>
      </w:r>
      <w:r w:rsidRPr="000C5816">
        <w:rPr>
          <w:rFonts w:ascii="Garamond" w:hAnsi="Garamond" w:cstheme="minorHAnsi"/>
          <w:spacing w:val="-11"/>
        </w:rPr>
        <w:t xml:space="preserve"> </w:t>
      </w:r>
      <w:r w:rsidRPr="000C5816">
        <w:rPr>
          <w:rFonts w:ascii="Garamond" w:hAnsi="Garamond" w:cstheme="minorHAnsi"/>
        </w:rPr>
        <w:t>[</w:t>
      </w:r>
      <w:r w:rsidRPr="000C5816">
        <w:rPr>
          <w:rFonts w:ascii="Garamond" w:hAnsi="Garamond" w:cstheme="minorHAnsi"/>
          <w:i/>
          <w:iCs/>
        </w:rPr>
        <w:t>Identificação</w:t>
      </w:r>
      <w:r w:rsidRPr="000C5816">
        <w:rPr>
          <w:rFonts w:ascii="Garamond" w:hAnsi="Garamond" w:cstheme="minorHAnsi"/>
          <w:i/>
          <w:iCs/>
          <w:spacing w:val="-11"/>
        </w:rPr>
        <w:t xml:space="preserve"> </w:t>
      </w:r>
      <w:r w:rsidRPr="000C5816">
        <w:rPr>
          <w:rFonts w:ascii="Garamond" w:hAnsi="Garamond" w:cstheme="minorHAnsi"/>
          <w:i/>
          <w:iCs/>
        </w:rPr>
        <w:t>do</w:t>
      </w:r>
      <w:r w:rsidRPr="000C5816">
        <w:rPr>
          <w:rFonts w:ascii="Garamond" w:hAnsi="Garamond" w:cstheme="minorHAnsi"/>
          <w:i/>
          <w:iCs/>
          <w:spacing w:val="-9"/>
        </w:rPr>
        <w:t xml:space="preserve"> </w:t>
      </w:r>
      <w:r w:rsidRPr="000C5816">
        <w:rPr>
          <w:rFonts w:ascii="Garamond" w:hAnsi="Garamond" w:cstheme="minorHAnsi"/>
          <w:i/>
          <w:iCs/>
        </w:rPr>
        <w:t>concorrente ou,</w:t>
      </w:r>
      <w:r w:rsidRPr="000C5816">
        <w:rPr>
          <w:rFonts w:ascii="Garamond" w:hAnsi="Garamond" w:cstheme="minorHAnsi"/>
          <w:i/>
          <w:iCs/>
          <w:spacing w:val="-12"/>
        </w:rPr>
        <w:t xml:space="preserve"> </w:t>
      </w:r>
      <w:r w:rsidRPr="000C5816">
        <w:rPr>
          <w:rFonts w:ascii="Garamond" w:hAnsi="Garamond" w:cstheme="minorHAnsi"/>
          <w:i/>
          <w:iCs/>
        </w:rPr>
        <w:t>em caso de agrupamento concorrente, identificação dos membros que constituem o agrupamento</w:t>
      </w:r>
      <w:r w:rsidRPr="000C5816">
        <w:rPr>
          <w:rFonts w:ascii="Garamond" w:hAnsi="Garamond" w:cstheme="minorHAnsi"/>
        </w:rPr>
        <w:t xml:space="preserve">] tendo tomado conhecimento das peças do </w:t>
      </w:r>
      <w:r w:rsidR="002C7EAC">
        <w:rPr>
          <w:rFonts w:ascii="Garamond" w:hAnsi="Garamond" w:cstheme="minorHAnsi"/>
        </w:rPr>
        <w:t>p</w:t>
      </w:r>
      <w:r w:rsidRPr="000C5816">
        <w:rPr>
          <w:rFonts w:ascii="Garamond" w:hAnsi="Garamond" w:cstheme="minorHAnsi"/>
        </w:rPr>
        <w:t xml:space="preserve">rocedimento </w:t>
      </w:r>
      <w:r w:rsidR="002C7EAC">
        <w:rPr>
          <w:rFonts w:ascii="Garamond" w:hAnsi="Garamond" w:cstheme="minorHAnsi"/>
        </w:rPr>
        <w:t>c</w:t>
      </w:r>
      <w:r w:rsidRPr="000C5816">
        <w:rPr>
          <w:rFonts w:ascii="Garamond" w:hAnsi="Garamond" w:cstheme="minorHAnsi"/>
        </w:rPr>
        <w:t xml:space="preserve">oncorrencial </w:t>
      </w:r>
      <w:r w:rsidR="002C7EAC" w:rsidRPr="00916A08">
        <w:rPr>
          <w:rFonts w:ascii="Garamond" w:hAnsi="Garamond" w:cstheme="minorHAnsi"/>
        </w:rPr>
        <w:t xml:space="preserve">para </w:t>
      </w:r>
      <w:r w:rsidR="002C7EAC" w:rsidRPr="00731441">
        <w:rPr>
          <w:rFonts w:ascii="Garamond" w:hAnsi="Garamond" w:cstheme="minorHAnsi"/>
        </w:rPr>
        <w:t xml:space="preserve">compra centralizada, pelo Comercializador de Último Recurso Grossista, de biometano e hidrogénio produzido por eletrólise a partir da água, com recurso a eletricidade com origem em fontes de energia renovável, para injeção na Rede </w:t>
      </w:r>
      <w:r w:rsidR="005E66EA">
        <w:rPr>
          <w:rFonts w:ascii="Garamond" w:hAnsi="Garamond" w:cstheme="minorHAnsi"/>
        </w:rPr>
        <w:t>Pública</w:t>
      </w:r>
      <w:r w:rsidR="002C7EAC" w:rsidRPr="00731441">
        <w:rPr>
          <w:rFonts w:ascii="Garamond" w:hAnsi="Garamond" w:cstheme="minorHAnsi"/>
        </w:rPr>
        <w:t xml:space="preserve"> de Gás</w:t>
      </w:r>
      <w:r w:rsidR="002C7EAC" w:rsidRPr="00731441">
        <w:rPr>
          <w:rStyle w:val="Refdenotaderodap"/>
          <w:rFonts w:ascii="Garamond" w:hAnsi="Garamond" w:cstheme="minorHAnsi"/>
        </w:rPr>
        <w:footnoteReference w:id="2"/>
      </w:r>
      <w:r w:rsidR="002C7EAC" w:rsidRPr="009F18F4">
        <w:rPr>
          <w:rFonts w:ascii="Garamond" w:hAnsi="Garamond" w:cstheme="minorHAnsi"/>
        </w:rPr>
        <w:t>,</w:t>
      </w:r>
      <w:r w:rsidR="002C7EAC">
        <w:rPr>
          <w:rFonts w:ascii="Garamond" w:hAnsi="Garamond" w:cstheme="minorHAnsi"/>
        </w:rPr>
        <w:t xml:space="preserve"> </w:t>
      </w:r>
      <w:r w:rsidR="009D66D3">
        <w:rPr>
          <w:rFonts w:ascii="Garamond" w:hAnsi="Garamond" w:cstheme="minorHAnsi"/>
        </w:rPr>
        <w:t>(Procedimento)</w:t>
      </w:r>
      <w:r w:rsidRPr="000C5816">
        <w:rPr>
          <w:rFonts w:ascii="Garamond" w:hAnsi="Garamond" w:cstheme="minorHAnsi"/>
        </w:rPr>
        <w:t>, assume as seguintes</w:t>
      </w:r>
      <w:r w:rsidRPr="000C5816">
        <w:rPr>
          <w:rFonts w:ascii="Garamond" w:hAnsi="Garamond" w:cstheme="minorHAnsi"/>
          <w:spacing w:val="-15"/>
        </w:rPr>
        <w:t xml:space="preserve"> </w:t>
      </w:r>
      <w:r w:rsidRPr="000C5816">
        <w:rPr>
          <w:rFonts w:ascii="Garamond" w:hAnsi="Garamond" w:cstheme="minorHAnsi"/>
        </w:rPr>
        <w:t>obrigações:</w:t>
      </w:r>
    </w:p>
    <w:p w14:paraId="07A3708C" w14:textId="71C707A5" w:rsidR="007023C0" w:rsidRPr="000C5816" w:rsidRDefault="00B47E9F" w:rsidP="003D67E1">
      <w:pPr>
        <w:pStyle w:val="PargrafodaLista"/>
        <w:numPr>
          <w:ilvl w:val="0"/>
          <w:numId w:val="2"/>
        </w:numPr>
        <w:kinsoku w:val="0"/>
        <w:overflowPunct w:val="0"/>
        <w:spacing w:after="120" w:line="360" w:lineRule="auto"/>
        <w:ind w:left="709" w:right="-139" w:hanging="426"/>
        <w:rPr>
          <w:rFonts w:ascii="Garamond" w:hAnsi="Garamond" w:cstheme="minorHAnsi"/>
        </w:rPr>
      </w:pPr>
      <w:r w:rsidRPr="000C5816">
        <w:rPr>
          <w:rFonts w:ascii="Garamond" w:hAnsi="Garamond" w:cstheme="minorHAnsi"/>
        </w:rPr>
        <w:t>Não celebração de acordos ou práticas concertadas de qualquer tipo com outros concorrentes ou agrupamento</w:t>
      </w:r>
      <w:r w:rsidRPr="000C5816">
        <w:rPr>
          <w:rFonts w:ascii="Garamond" w:hAnsi="Garamond" w:cstheme="minorHAnsi"/>
          <w:spacing w:val="-5"/>
        </w:rPr>
        <w:t xml:space="preserve"> </w:t>
      </w:r>
      <w:r w:rsidRPr="000C5816">
        <w:rPr>
          <w:rFonts w:ascii="Garamond" w:hAnsi="Garamond" w:cstheme="minorHAnsi"/>
        </w:rPr>
        <w:t>concorrentes;</w:t>
      </w:r>
    </w:p>
    <w:p w14:paraId="31E19BBF" w14:textId="6A8CAB84" w:rsidR="007023C0" w:rsidRPr="000C5816" w:rsidRDefault="00B47E9F" w:rsidP="003D67E1">
      <w:pPr>
        <w:pStyle w:val="PargrafodaLista"/>
        <w:numPr>
          <w:ilvl w:val="0"/>
          <w:numId w:val="2"/>
        </w:numPr>
        <w:kinsoku w:val="0"/>
        <w:overflowPunct w:val="0"/>
        <w:spacing w:after="120" w:line="360" w:lineRule="auto"/>
        <w:ind w:left="709" w:right="-139" w:hanging="426"/>
        <w:rPr>
          <w:rFonts w:ascii="Garamond" w:hAnsi="Garamond" w:cstheme="minorHAnsi"/>
        </w:rPr>
      </w:pPr>
      <w:r w:rsidRPr="000C5816">
        <w:rPr>
          <w:rFonts w:ascii="Garamond" w:hAnsi="Garamond" w:cstheme="minorHAnsi"/>
        </w:rPr>
        <w:t>Não fornecimento de informações a outros concorrentes ou agrupamentos concorrentes que, nos termos dos artigos 9.º da Lei n.º 19/2012, de 8 de maio, na sua redação atual, e no n.º 1 do artigo 101.º do Tratado sobre o Funcionamento da União Europeia, sejam suscetíveis</w:t>
      </w:r>
      <w:r w:rsidRPr="000C5816">
        <w:rPr>
          <w:rFonts w:ascii="Garamond" w:hAnsi="Garamond" w:cstheme="minorHAnsi"/>
          <w:spacing w:val="-7"/>
        </w:rPr>
        <w:t xml:space="preserve"> </w:t>
      </w:r>
      <w:r w:rsidRPr="000C5816">
        <w:rPr>
          <w:rFonts w:ascii="Garamond" w:hAnsi="Garamond" w:cstheme="minorHAnsi"/>
        </w:rPr>
        <w:t>de</w:t>
      </w:r>
      <w:r w:rsidRPr="000C5816">
        <w:rPr>
          <w:rFonts w:ascii="Garamond" w:hAnsi="Garamond" w:cstheme="minorHAnsi"/>
          <w:spacing w:val="-5"/>
        </w:rPr>
        <w:t xml:space="preserve"> </w:t>
      </w:r>
      <w:r w:rsidRPr="000C5816">
        <w:rPr>
          <w:rFonts w:ascii="Garamond" w:hAnsi="Garamond" w:cstheme="minorHAnsi"/>
        </w:rPr>
        <w:t>restringir</w:t>
      </w:r>
      <w:r w:rsidRPr="000C5816">
        <w:rPr>
          <w:rFonts w:ascii="Garamond" w:hAnsi="Garamond" w:cstheme="minorHAnsi"/>
          <w:spacing w:val="-4"/>
        </w:rPr>
        <w:t xml:space="preserve"> </w:t>
      </w:r>
      <w:r w:rsidRPr="000C5816">
        <w:rPr>
          <w:rFonts w:ascii="Garamond" w:hAnsi="Garamond" w:cstheme="minorHAnsi"/>
        </w:rPr>
        <w:t>a</w:t>
      </w:r>
      <w:r w:rsidRPr="000C5816">
        <w:rPr>
          <w:rFonts w:ascii="Garamond" w:hAnsi="Garamond" w:cstheme="minorHAnsi"/>
          <w:spacing w:val="-6"/>
        </w:rPr>
        <w:t xml:space="preserve"> </w:t>
      </w:r>
      <w:r w:rsidRPr="000C5816">
        <w:rPr>
          <w:rFonts w:ascii="Garamond" w:hAnsi="Garamond" w:cstheme="minorHAnsi"/>
        </w:rPr>
        <w:t>concorrência,</w:t>
      </w:r>
      <w:r w:rsidRPr="000C5816">
        <w:rPr>
          <w:rFonts w:ascii="Garamond" w:hAnsi="Garamond" w:cstheme="minorHAnsi"/>
          <w:spacing w:val="-5"/>
        </w:rPr>
        <w:t xml:space="preserve"> </w:t>
      </w:r>
      <w:r w:rsidRPr="000C5816">
        <w:rPr>
          <w:rFonts w:ascii="Garamond" w:hAnsi="Garamond" w:cstheme="minorHAnsi"/>
        </w:rPr>
        <w:t>de</w:t>
      </w:r>
      <w:r w:rsidRPr="000C5816">
        <w:rPr>
          <w:rFonts w:ascii="Garamond" w:hAnsi="Garamond" w:cstheme="minorHAnsi"/>
          <w:spacing w:val="-5"/>
        </w:rPr>
        <w:t xml:space="preserve"> </w:t>
      </w:r>
      <w:r w:rsidRPr="000C5816">
        <w:rPr>
          <w:rFonts w:ascii="Garamond" w:hAnsi="Garamond" w:cstheme="minorHAnsi"/>
        </w:rPr>
        <w:t>forma</w:t>
      </w:r>
      <w:r w:rsidRPr="000C5816">
        <w:rPr>
          <w:rFonts w:ascii="Garamond" w:hAnsi="Garamond" w:cstheme="minorHAnsi"/>
          <w:spacing w:val="-5"/>
        </w:rPr>
        <w:t xml:space="preserve"> </w:t>
      </w:r>
      <w:r w:rsidRPr="000C5816">
        <w:rPr>
          <w:rFonts w:ascii="Garamond" w:hAnsi="Garamond" w:cstheme="minorHAnsi"/>
        </w:rPr>
        <w:t>direta</w:t>
      </w:r>
      <w:r w:rsidRPr="000C5816">
        <w:rPr>
          <w:rFonts w:ascii="Garamond" w:hAnsi="Garamond" w:cstheme="minorHAnsi"/>
          <w:spacing w:val="-6"/>
        </w:rPr>
        <w:t xml:space="preserve"> </w:t>
      </w:r>
      <w:r w:rsidRPr="000C5816">
        <w:rPr>
          <w:rFonts w:ascii="Garamond" w:hAnsi="Garamond" w:cstheme="minorHAnsi"/>
        </w:rPr>
        <w:t>ou</w:t>
      </w:r>
      <w:r w:rsidRPr="000C5816">
        <w:rPr>
          <w:rFonts w:ascii="Garamond" w:hAnsi="Garamond" w:cstheme="minorHAnsi"/>
          <w:spacing w:val="-6"/>
        </w:rPr>
        <w:t xml:space="preserve"> </w:t>
      </w:r>
      <w:r w:rsidRPr="000C5816">
        <w:rPr>
          <w:rFonts w:ascii="Garamond" w:hAnsi="Garamond" w:cstheme="minorHAnsi"/>
        </w:rPr>
        <w:t>indireta, referindo-se</w:t>
      </w:r>
      <w:r w:rsidRPr="000C5816">
        <w:rPr>
          <w:rFonts w:ascii="Garamond" w:hAnsi="Garamond" w:cstheme="minorHAnsi"/>
          <w:spacing w:val="-1"/>
        </w:rPr>
        <w:t xml:space="preserve"> </w:t>
      </w:r>
      <w:r w:rsidRPr="000C5816">
        <w:rPr>
          <w:rFonts w:ascii="Garamond" w:hAnsi="Garamond" w:cstheme="minorHAnsi"/>
        </w:rPr>
        <w:t>designadamente:</w:t>
      </w:r>
    </w:p>
    <w:p w14:paraId="17DEFFB9" w14:textId="6623C258" w:rsidR="00B47E9F" w:rsidRPr="000C5816" w:rsidRDefault="00B47E9F" w:rsidP="003D67E1">
      <w:pPr>
        <w:pStyle w:val="PargrafodaLista"/>
        <w:numPr>
          <w:ilvl w:val="1"/>
          <w:numId w:val="2"/>
        </w:numPr>
        <w:tabs>
          <w:tab w:val="left" w:pos="1701"/>
        </w:tabs>
        <w:kinsoku w:val="0"/>
        <w:overflowPunct w:val="0"/>
        <w:spacing w:after="120" w:line="360" w:lineRule="auto"/>
        <w:ind w:left="1276" w:right="-139" w:hanging="425"/>
        <w:rPr>
          <w:rFonts w:ascii="Garamond" w:hAnsi="Garamond" w:cstheme="minorHAnsi"/>
        </w:rPr>
      </w:pPr>
      <w:r w:rsidRPr="000C5816">
        <w:rPr>
          <w:rFonts w:ascii="Garamond" w:hAnsi="Garamond" w:cstheme="minorHAnsi"/>
        </w:rPr>
        <w:t>À participação no Procedimento;</w:t>
      </w:r>
    </w:p>
    <w:p w14:paraId="6105165A" w14:textId="05121F71" w:rsidR="00B47E9F" w:rsidRPr="000C5816" w:rsidRDefault="00B47E9F" w:rsidP="003D67E1">
      <w:pPr>
        <w:pStyle w:val="PargrafodaLista"/>
        <w:numPr>
          <w:ilvl w:val="1"/>
          <w:numId w:val="2"/>
        </w:numPr>
        <w:tabs>
          <w:tab w:val="left" w:pos="1701"/>
        </w:tabs>
        <w:kinsoku w:val="0"/>
        <w:overflowPunct w:val="0"/>
        <w:spacing w:after="120" w:line="360" w:lineRule="auto"/>
        <w:ind w:left="1276" w:right="-139" w:hanging="425"/>
        <w:rPr>
          <w:rFonts w:ascii="Garamond" w:hAnsi="Garamond" w:cstheme="minorHAnsi"/>
        </w:rPr>
      </w:pPr>
      <w:r w:rsidRPr="000C5816">
        <w:rPr>
          <w:rFonts w:ascii="Garamond" w:hAnsi="Garamond" w:cstheme="minorHAnsi"/>
        </w:rPr>
        <w:t xml:space="preserve">Às </w:t>
      </w:r>
      <w:r w:rsidR="00E26521" w:rsidRPr="000C5816">
        <w:rPr>
          <w:rFonts w:ascii="Garamond" w:hAnsi="Garamond" w:cstheme="minorHAnsi"/>
        </w:rPr>
        <w:t>quantidades de biometano e hidrogénio</w:t>
      </w:r>
      <w:r w:rsidR="009D66D3">
        <w:rPr>
          <w:rFonts w:ascii="Garamond" w:hAnsi="Garamond" w:cstheme="minorHAnsi"/>
        </w:rPr>
        <w:t xml:space="preserve"> renovável</w:t>
      </w:r>
      <w:r w:rsidR="00E26521" w:rsidRPr="000C5816">
        <w:rPr>
          <w:rFonts w:ascii="Garamond" w:hAnsi="Garamond" w:cstheme="minorHAnsi"/>
        </w:rPr>
        <w:t xml:space="preserve"> que pretende vender no âmbito dos lotes a que se candidata</w:t>
      </w:r>
      <w:r w:rsidR="00E26521" w:rsidRPr="000C5816" w:rsidDel="00E26521">
        <w:rPr>
          <w:rFonts w:ascii="Garamond" w:hAnsi="Garamond" w:cstheme="minorHAnsi"/>
        </w:rPr>
        <w:t xml:space="preserve"> </w:t>
      </w:r>
      <w:r w:rsidRPr="000C5816">
        <w:rPr>
          <w:rFonts w:ascii="Garamond" w:hAnsi="Garamond" w:cstheme="minorHAnsi"/>
        </w:rPr>
        <w:t>e consequentes estratégias de</w:t>
      </w:r>
      <w:r w:rsidRPr="000C5816">
        <w:rPr>
          <w:rFonts w:ascii="Garamond" w:hAnsi="Garamond" w:cstheme="minorHAnsi"/>
          <w:spacing w:val="-3"/>
        </w:rPr>
        <w:t xml:space="preserve"> </w:t>
      </w:r>
      <w:r w:rsidRPr="000C5816">
        <w:rPr>
          <w:rFonts w:ascii="Garamond" w:hAnsi="Garamond" w:cstheme="minorHAnsi"/>
        </w:rPr>
        <w:t>oferta;</w:t>
      </w:r>
    </w:p>
    <w:p w14:paraId="1B3752BD" w14:textId="77777777" w:rsidR="00B47E9F" w:rsidRPr="000C5816" w:rsidRDefault="00B47E9F" w:rsidP="003D67E1">
      <w:pPr>
        <w:pStyle w:val="PargrafodaLista"/>
        <w:numPr>
          <w:ilvl w:val="1"/>
          <w:numId w:val="2"/>
        </w:numPr>
        <w:tabs>
          <w:tab w:val="left" w:pos="1701"/>
        </w:tabs>
        <w:kinsoku w:val="0"/>
        <w:overflowPunct w:val="0"/>
        <w:spacing w:after="120" w:line="360" w:lineRule="auto"/>
        <w:ind w:left="1276" w:right="-139" w:hanging="425"/>
        <w:rPr>
          <w:rFonts w:ascii="Garamond" w:hAnsi="Garamond" w:cstheme="minorHAnsi"/>
        </w:rPr>
      </w:pPr>
      <w:r w:rsidRPr="000C5816">
        <w:rPr>
          <w:rFonts w:ascii="Garamond" w:hAnsi="Garamond" w:cstheme="minorHAnsi"/>
        </w:rPr>
        <w:t>Aos preços ou métodos de estimação dos</w:t>
      </w:r>
      <w:r w:rsidRPr="000C5816">
        <w:rPr>
          <w:rFonts w:ascii="Garamond" w:hAnsi="Garamond" w:cstheme="minorHAnsi"/>
          <w:spacing w:val="-17"/>
        </w:rPr>
        <w:t xml:space="preserve"> </w:t>
      </w:r>
      <w:r w:rsidRPr="000C5816">
        <w:rPr>
          <w:rFonts w:ascii="Garamond" w:hAnsi="Garamond" w:cstheme="minorHAnsi"/>
        </w:rPr>
        <w:t>preços;</w:t>
      </w:r>
    </w:p>
    <w:p w14:paraId="0861A8D2" w14:textId="6C81DCD1" w:rsidR="007023C0" w:rsidRDefault="00B47E9F" w:rsidP="003D67E1">
      <w:pPr>
        <w:pStyle w:val="PargrafodaLista"/>
        <w:numPr>
          <w:ilvl w:val="1"/>
          <w:numId w:val="2"/>
        </w:numPr>
        <w:tabs>
          <w:tab w:val="left" w:pos="1701"/>
        </w:tabs>
        <w:kinsoku w:val="0"/>
        <w:overflowPunct w:val="0"/>
        <w:spacing w:after="120" w:line="360" w:lineRule="auto"/>
        <w:ind w:left="1276" w:right="-139" w:hanging="425"/>
        <w:rPr>
          <w:rFonts w:ascii="Garamond" w:hAnsi="Garamond" w:cstheme="minorHAnsi"/>
        </w:rPr>
      </w:pPr>
      <w:r w:rsidRPr="000C5816">
        <w:rPr>
          <w:rFonts w:ascii="Garamond" w:hAnsi="Garamond" w:cstheme="minorHAnsi"/>
        </w:rPr>
        <w:t>A quaisquer outros aspetos relacionados com o Procedimento</w:t>
      </w:r>
      <w:r w:rsidR="00361186">
        <w:rPr>
          <w:rFonts w:ascii="Garamond" w:hAnsi="Garamond" w:cstheme="minorHAnsi"/>
        </w:rPr>
        <w:t xml:space="preserve"> </w:t>
      </w:r>
      <w:r w:rsidRPr="000C5816">
        <w:rPr>
          <w:rFonts w:ascii="Garamond" w:hAnsi="Garamond" w:cstheme="minorHAnsi"/>
        </w:rPr>
        <w:t>que possam colocar em causa o livre jogo da concorrência.</w:t>
      </w:r>
    </w:p>
    <w:p w14:paraId="562495EB" w14:textId="67AAE080" w:rsidR="00B47E9F" w:rsidRDefault="00B47E9F" w:rsidP="00A76117">
      <w:pPr>
        <w:tabs>
          <w:tab w:val="left" w:pos="2602"/>
        </w:tabs>
        <w:kinsoku w:val="0"/>
        <w:overflowPunct w:val="0"/>
        <w:spacing w:after="120" w:line="360" w:lineRule="auto"/>
        <w:ind w:left="-218" w:right="-139"/>
        <w:jc w:val="both"/>
        <w:rPr>
          <w:rFonts w:ascii="Garamond" w:hAnsi="Garamond" w:cstheme="minorHAnsi"/>
          <w:sz w:val="24"/>
          <w:szCs w:val="24"/>
        </w:rPr>
      </w:pPr>
      <w:r w:rsidRPr="000C5816">
        <w:rPr>
          <w:rFonts w:ascii="Garamond" w:hAnsi="Garamond" w:cstheme="minorHAnsi"/>
          <w:sz w:val="24"/>
          <w:szCs w:val="24"/>
        </w:rPr>
        <w:t>Adicionalmente, o declarante reconhece que quaisquer acordos, atos, práticas e informações suscetíveis de restringir a concorrência constituem uma violação grave da</w:t>
      </w:r>
      <w:r w:rsidRPr="000C5816">
        <w:rPr>
          <w:rFonts w:ascii="Garamond" w:hAnsi="Garamond" w:cstheme="minorHAnsi"/>
          <w:spacing w:val="37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Lei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n.º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19/2012,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de</w:t>
      </w:r>
      <w:r w:rsidRPr="000C5816">
        <w:rPr>
          <w:rFonts w:ascii="Garamond" w:hAnsi="Garamond" w:cstheme="minorHAnsi"/>
          <w:spacing w:val="37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8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de</w:t>
      </w:r>
      <w:r w:rsidRPr="000C5816">
        <w:rPr>
          <w:rFonts w:ascii="Garamond" w:hAnsi="Garamond" w:cstheme="minorHAnsi"/>
          <w:spacing w:val="37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maio, na sua redação atual</w:t>
      </w:r>
      <w:r w:rsidR="00515EA6">
        <w:rPr>
          <w:rFonts w:ascii="Garamond" w:hAnsi="Garamond" w:cstheme="minorHAnsi"/>
          <w:sz w:val="24"/>
          <w:szCs w:val="24"/>
        </w:rPr>
        <w:t>,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e</w:t>
      </w:r>
      <w:r w:rsidRPr="000C5816">
        <w:rPr>
          <w:rFonts w:ascii="Garamond" w:hAnsi="Garamond" w:cstheme="minorHAnsi"/>
          <w:spacing w:val="39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do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Tratado</w:t>
      </w:r>
      <w:r w:rsidRPr="000C5816">
        <w:rPr>
          <w:rFonts w:ascii="Garamond" w:hAnsi="Garamond" w:cstheme="minorHAnsi"/>
          <w:spacing w:val="37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sobre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o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Funcionamento</w:t>
      </w:r>
      <w:r w:rsidRPr="000C5816">
        <w:rPr>
          <w:rFonts w:ascii="Garamond" w:hAnsi="Garamond" w:cstheme="minorHAnsi"/>
          <w:spacing w:val="37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da</w:t>
      </w:r>
      <w:r w:rsidRPr="000C5816">
        <w:rPr>
          <w:rFonts w:ascii="Garamond" w:hAnsi="Garamond" w:cstheme="minorHAnsi"/>
          <w:spacing w:val="38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União Europeia, pelo que, quaisquer infrações a esses regimes legais no âmbito do Procedimento poderão ser denunciadas às entidades competentes, respetivamente à Autoridade da Concorrência (AdC) ou à Comissão</w:t>
      </w:r>
      <w:r w:rsidRPr="000C5816">
        <w:rPr>
          <w:rFonts w:ascii="Garamond" w:hAnsi="Garamond" w:cstheme="minorHAnsi"/>
          <w:spacing w:val="-13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sz w:val="24"/>
          <w:szCs w:val="24"/>
        </w:rPr>
        <w:t>Europeia.</w:t>
      </w:r>
    </w:p>
    <w:p w14:paraId="7F915331" w14:textId="77777777" w:rsidR="00260CCE" w:rsidRDefault="00260CCE" w:rsidP="00FF17BB">
      <w:pPr>
        <w:tabs>
          <w:tab w:val="left" w:pos="2602"/>
        </w:tabs>
        <w:kinsoku w:val="0"/>
        <w:overflowPunct w:val="0"/>
        <w:spacing w:after="120" w:line="360" w:lineRule="auto"/>
        <w:ind w:left="-218" w:right="-139"/>
        <w:jc w:val="center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______________________________</w:t>
      </w:r>
    </w:p>
    <w:p w14:paraId="78411118" w14:textId="4D52E112" w:rsidR="00260CCE" w:rsidRPr="000C5816" w:rsidRDefault="00260CCE" w:rsidP="00FF17BB">
      <w:pPr>
        <w:tabs>
          <w:tab w:val="left" w:pos="2602"/>
        </w:tabs>
        <w:kinsoku w:val="0"/>
        <w:overflowPunct w:val="0"/>
        <w:spacing w:after="120" w:line="360" w:lineRule="auto"/>
        <w:ind w:left="-218" w:right="-139"/>
        <w:jc w:val="center"/>
        <w:rPr>
          <w:rFonts w:ascii="Garamond" w:hAnsi="Garamond" w:cstheme="minorHAnsi"/>
        </w:rPr>
      </w:pPr>
      <w:r w:rsidRPr="000C5816">
        <w:rPr>
          <w:rFonts w:ascii="Garamond" w:hAnsi="Garamond" w:cstheme="minorHAnsi"/>
          <w:sz w:val="24"/>
          <w:szCs w:val="24"/>
        </w:rPr>
        <w:t>[</w:t>
      </w:r>
      <w:r w:rsidRPr="000C5816">
        <w:rPr>
          <w:rFonts w:ascii="Garamond" w:hAnsi="Garamond" w:cstheme="minorHAnsi"/>
          <w:i/>
          <w:iCs/>
          <w:sz w:val="24"/>
          <w:szCs w:val="24"/>
        </w:rPr>
        <w:t>Data e assinatura dos</w:t>
      </w:r>
      <w:r w:rsidRPr="000C5816">
        <w:rPr>
          <w:rFonts w:ascii="Garamond" w:hAnsi="Garamond" w:cstheme="minorHAnsi"/>
          <w:i/>
          <w:iCs/>
          <w:spacing w:val="-12"/>
          <w:sz w:val="24"/>
          <w:szCs w:val="24"/>
        </w:rPr>
        <w:t xml:space="preserve"> </w:t>
      </w:r>
      <w:r w:rsidRPr="000C5816">
        <w:rPr>
          <w:rFonts w:ascii="Garamond" w:hAnsi="Garamond" w:cstheme="minorHAnsi"/>
          <w:i/>
          <w:iCs/>
          <w:sz w:val="24"/>
          <w:szCs w:val="24"/>
        </w:rPr>
        <w:t>subscritores</w:t>
      </w:r>
      <w:r w:rsidRPr="00260CCE">
        <w:rPr>
          <w:rFonts w:ascii="Garamond" w:hAnsi="Garamond" w:cstheme="minorHAnsi"/>
          <w:sz w:val="24"/>
          <w:szCs w:val="24"/>
        </w:rPr>
        <w:t>]</w:t>
      </w:r>
    </w:p>
    <w:sectPr w:rsidR="00260CCE" w:rsidRPr="000C5816" w:rsidSect="00FA0E89">
      <w:footerReference w:type="default" r:id="rId11"/>
      <w:pgSz w:w="11906" w:h="16838"/>
      <w:pgMar w:top="1440" w:right="127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5519" w14:textId="77777777" w:rsidR="00AE60F4" w:rsidRDefault="00AE60F4" w:rsidP="00FC27E3">
      <w:r>
        <w:separator/>
      </w:r>
    </w:p>
  </w:endnote>
  <w:endnote w:type="continuationSeparator" w:id="0">
    <w:p w14:paraId="30F5F4C2" w14:textId="77777777" w:rsidR="00AE60F4" w:rsidRDefault="00AE60F4" w:rsidP="00FC27E3">
      <w:r>
        <w:continuationSeparator/>
      </w:r>
    </w:p>
  </w:endnote>
  <w:endnote w:type="continuationNotice" w:id="1">
    <w:p w14:paraId="448DE5BF" w14:textId="77777777" w:rsidR="00AE60F4" w:rsidRDefault="00AE6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641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E6539" w14:textId="08F7D43B" w:rsidR="00A76117" w:rsidRDefault="00A76117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7A797" w14:textId="77777777" w:rsidR="00A76117" w:rsidRDefault="00A761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3B79" w14:textId="77777777" w:rsidR="00AE60F4" w:rsidRDefault="00AE60F4" w:rsidP="00FC27E3">
      <w:r>
        <w:separator/>
      </w:r>
    </w:p>
  </w:footnote>
  <w:footnote w:type="continuationSeparator" w:id="0">
    <w:p w14:paraId="0BE77B0D" w14:textId="77777777" w:rsidR="00AE60F4" w:rsidRDefault="00AE60F4" w:rsidP="00FC27E3">
      <w:r>
        <w:continuationSeparator/>
      </w:r>
    </w:p>
  </w:footnote>
  <w:footnote w:type="continuationNotice" w:id="1">
    <w:p w14:paraId="2003B26B" w14:textId="77777777" w:rsidR="00AE60F4" w:rsidRDefault="00AE60F4"/>
  </w:footnote>
  <w:footnote w:id="2">
    <w:p w14:paraId="7AAA0075" w14:textId="42CFF154" w:rsidR="002C7EAC" w:rsidRPr="00A81A7F" w:rsidRDefault="002C7EAC" w:rsidP="002C7EAC">
      <w:pPr>
        <w:pStyle w:val="Textodenotaderodap"/>
        <w:jc w:val="both"/>
        <w:rPr>
          <w:rFonts w:ascii="Garamond" w:hAnsi="Garamond"/>
        </w:rPr>
      </w:pPr>
      <w:r w:rsidRPr="00A81A7F">
        <w:rPr>
          <w:rStyle w:val="Refdenotaderodap"/>
          <w:rFonts w:ascii="Garamond" w:hAnsi="Garamond"/>
        </w:rPr>
        <w:footnoteRef/>
      </w:r>
      <w:r w:rsidRPr="00A81A7F">
        <w:rPr>
          <w:rFonts w:ascii="Garamond" w:hAnsi="Garamond"/>
        </w:rPr>
        <w:t xml:space="preserve"> </w:t>
      </w:r>
      <w:r w:rsidR="005E66EA" w:rsidRPr="00E3791D">
        <w:rPr>
          <w:rFonts w:ascii="Garamond" w:hAnsi="Garamond"/>
        </w:rPr>
        <w:t xml:space="preserve">No âmbito do presente procedimento concorrencial entende-se, por simplificação, que a Rede </w:t>
      </w:r>
      <w:r w:rsidR="005E66EA">
        <w:rPr>
          <w:rFonts w:ascii="Garamond" w:hAnsi="Garamond"/>
        </w:rPr>
        <w:t>Pública</w:t>
      </w:r>
      <w:r w:rsidR="005E66EA" w:rsidRPr="00C327F7">
        <w:rPr>
          <w:rFonts w:ascii="Garamond" w:hAnsi="Garamond"/>
        </w:rPr>
        <w:t xml:space="preserve"> de Gás </w:t>
      </w:r>
      <w:r w:rsidR="005E66EA">
        <w:rPr>
          <w:rFonts w:ascii="Garamond" w:hAnsi="Garamond"/>
        </w:rPr>
        <w:t xml:space="preserve">se circunscreve </w:t>
      </w:r>
      <w:r w:rsidR="005E66EA" w:rsidRPr="00C327F7">
        <w:rPr>
          <w:rFonts w:ascii="Garamond" w:hAnsi="Garamond"/>
        </w:rPr>
        <w:t xml:space="preserve"> </w:t>
      </w:r>
      <w:r w:rsidR="005E66EA">
        <w:rPr>
          <w:rFonts w:ascii="Garamond" w:hAnsi="Garamond"/>
        </w:rPr>
        <w:t>a</w:t>
      </w:r>
      <w:r w:rsidR="005E66EA" w:rsidRPr="00E3791D">
        <w:rPr>
          <w:rFonts w:ascii="Garamond" w:hAnsi="Garamond"/>
        </w:rPr>
        <w:t>o conjunto das infraestruturas de serviço público que integram a Rede Nacional de Transporte de Gás e a Rede Nacional de Distribuição de Gás</w:t>
      </w:r>
      <w:r w:rsidRPr="00A81A7F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35"/>
    <w:multiLevelType w:val="multilevel"/>
    <w:tmpl w:val="4B208D56"/>
    <w:lvl w:ilvl="0">
      <w:start w:val="1"/>
      <w:numFmt w:val="decimal"/>
      <w:lvlText w:val="(%1)"/>
      <w:lvlJc w:val="left"/>
      <w:pPr>
        <w:ind w:left="1020" w:hanging="257"/>
      </w:pPr>
      <w:rPr>
        <w:rFonts w:ascii="Book Antiqua" w:hAnsi="Book Antiqua" w:cs="Book Antiqua"/>
        <w:b w:val="0"/>
        <w:bCs w:val="0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882" w:hanging="360"/>
      </w:pPr>
      <w:rPr>
        <w:rFonts w:asciiTheme="minorHAnsi" w:hAnsiTheme="minorHAnsi" w:cstheme="minorHAnsi" w:hint="default"/>
        <w:b w:val="0"/>
        <w:bCs w:val="0"/>
        <w:w w:val="100"/>
        <w:sz w:val="24"/>
        <w:szCs w:val="24"/>
      </w:rPr>
    </w:lvl>
    <w:lvl w:ilvl="2">
      <w:start w:val="1"/>
      <w:numFmt w:val="lowerRoman"/>
      <w:lvlText w:val="%3)"/>
      <w:lvlJc w:val="left"/>
      <w:pPr>
        <w:ind w:left="2602" w:hanging="360"/>
      </w:pPr>
      <w:rPr>
        <w:rFonts w:asciiTheme="minorHAnsi" w:hAnsiTheme="minorHAnsi" w:cstheme="minorHAnsi" w:hint="default"/>
        <w:b w:val="0"/>
        <w:bCs w:val="0"/>
        <w:i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776" w:hanging="360"/>
      </w:pPr>
    </w:lvl>
    <w:lvl w:ilvl="5">
      <w:numFmt w:val="bullet"/>
      <w:lvlText w:val="•"/>
      <w:lvlJc w:val="left"/>
      <w:pPr>
        <w:ind w:left="5864" w:hanging="360"/>
      </w:pPr>
    </w:lvl>
    <w:lvl w:ilvl="6">
      <w:numFmt w:val="bullet"/>
      <w:lvlText w:val="•"/>
      <w:lvlJc w:val="left"/>
      <w:pPr>
        <w:ind w:left="6953" w:hanging="360"/>
      </w:pPr>
    </w:lvl>
    <w:lvl w:ilvl="7">
      <w:numFmt w:val="bullet"/>
      <w:lvlText w:val="•"/>
      <w:lvlJc w:val="left"/>
      <w:pPr>
        <w:ind w:left="8041" w:hanging="360"/>
      </w:pPr>
    </w:lvl>
    <w:lvl w:ilvl="8">
      <w:numFmt w:val="bullet"/>
      <w:lvlText w:val="•"/>
      <w:lvlJc w:val="left"/>
      <w:pPr>
        <w:ind w:left="9129" w:hanging="360"/>
      </w:pPr>
    </w:lvl>
  </w:abstractNum>
  <w:abstractNum w:abstractNumId="1" w15:restartNumberingAfterBreak="0">
    <w:nsid w:val="00000437"/>
    <w:multiLevelType w:val="multilevel"/>
    <w:tmpl w:val="4C3C047E"/>
    <w:lvl w:ilvl="0">
      <w:start w:val="1"/>
      <w:numFmt w:val="decimal"/>
      <w:lvlText w:val="%1."/>
      <w:lvlJc w:val="left"/>
      <w:pPr>
        <w:ind w:left="786" w:hanging="360"/>
      </w:pPr>
      <w:rPr>
        <w:rFonts w:ascii="Garamond" w:eastAsiaTheme="minorEastAsia" w:hAnsi="Garamond" w:cstheme="minorHAnsi" w:hint="default"/>
        <w:b w:val="0"/>
        <w:bCs w:val="0"/>
        <w:w w:val="100"/>
        <w:sz w:val="24"/>
        <w:szCs w:val="24"/>
      </w:rPr>
    </w:lvl>
    <w:lvl w:ilvl="1">
      <w:start w:val="1"/>
      <w:numFmt w:val="lowerRoman"/>
      <w:lvlText w:val="%2)"/>
      <w:lvlJc w:val="left"/>
      <w:pPr>
        <w:ind w:left="1506" w:hanging="360"/>
      </w:pPr>
      <w:rPr>
        <w:rFonts w:ascii="Garamond" w:hAnsi="Garamond" w:cstheme="minorHAnsi" w:hint="default"/>
        <w:b w:val="0"/>
        <w:bCs w:val="0"/>
        <w:i/>
        <w:i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471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406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0" w:hanging="360"/>
      </w:pPr>
    </w:lvl>
    <w:lvl w:ilvl="7">
      <w:numFmt w:val="bullet"/>
      <w:lvlText w:val="•"/>
      <w:lvlJc w:val="left"/>
      <w:pPr>
        <w:ind w:left="7308" w:hanging="360"/>
      </w:pPr>
    </w:lvl>
    <w:lvl w:ilvl="8">
      <w:numFmt w:val="bullet"/>
      <w:lvlText w:val="•"/>
      <w:lvlJc w:val="left"/>
      <w:pPr>
        <w:ind w:left="8275" w:hanging="360"/>
      </w:pPr>
    </w:lvl>
  </w:abstractNum>
  <w:num w:numId="1" w16cid:durableId="1572279013">
    <w:abstractNumId w:val="0"/>
  </w:num>
  <w:num w:numId="2" w16cid:durableId="287972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xNjC1NLCxNDQwMzIyUdpeDU4uLM/DyQAsNaAJGo6MgsAAAA"/>
  </w:docVars>
  <w:rsids>
    <w:rsidRoot w:val="009002AC"/>
    <w:rsid w:val="000A6918"/>
    <w:rsid w:val="000C5816"/>
    <w:rsid w:val="00152BD5"/>
    <w:rsid w:val="001D4BBE"/>
    <w:rsid w:val="002542E2"/>
    <w:rsid w:val="00254787"/>
    <w:rsid w:val="00260CCE"/>
    <w:rsid w:val="00283B76"/>
    <w:rsid w:val="002C7EAC"/>
    <w:rsid w:val="00361186"/>
    <w:rsid w:val="003D67E1"/>
    <w:rsid w:val="0040457E"/>
    <w:rsid w:val="004323BF"/>
    <w:rsid w:val="004F0B21"/>
    <w:rsid w:val="00514681"/>
    <w:rsid w:val="00515EA6"/>
    <w:rsid w:val="005B4921"/>
    <w:rsid w:val="005D3324"/>
    <w:rsid w:val="005E5864"/>
    <w:rsid w:val="005E66EA"/>
    <w:rsid w:val="006B53EC"/>
    <w:rsid w:val="007023C0"/>
    <w:rsid w:val="007862E0"/>
    <w:rsid w:val="007C7846"/>
    <w:rsid w:val="007D5770"/>
    <w:rsid w:val="00860077"/>
    <w:rsid w:val="00875A7B"/>
    <w:rsid w:val="008F2588"/>
    <w:rsid w:val="009002AC"/>
    <w:rsid w:val="00903671"/>
    <w:rsid w:val="0093725A"/>
    <w:rsid w:val="009D66D3"/>
    <w:rsid w:val="00A76117"/>
    <w:rsid w:val="00AA48BD"/>
    <w:rsid w:val="00AE60F4"/>
    <w:rsid w:val="00B0297B"/>
    <w:rsid w:val="00B47E9F"/>
    <w:rsid w:val="00B74124"/>
    <w:rsid w:val="00BA5CCC"/>
    <w:rsid w:val="00C12F2F"/>
    <w:rsid w:val="00D93696"/>
    <w:rsid w:val="00DB0D03"/>
    <w:rsid w:val="00DB754B"/>
    <w:rsid w:val="00E26521"/>
    <w:rsid w:val="00E64C2F"/>
    <w:rsid w:val="00F0628F"/>
    <w:rsid w:val="00F747D6"/>
    <w:rsid w:val="00FA0E89"/>
    <w:rsid w:val="00FC27E3"/>
    <w:rsid w:val="00FF0B4A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1640"/>
  <w15:chartTrackingRefBased/>
  <w15:docId w15:val="{6C685CE3-DDF8-46E8-AE49-76AE386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784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 w:cs="Book Antiqua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002A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9002AC"/>
    <w:rPr>
      <w:rFonts w:ascii="Book Antiqua" w:eastAsiaTheme="majorEastAsia" w:hAnsi="Book Antiqua" w:cstheme="majorBidi"/>
      <w:szCs w:val="26"/>
      <w:lang w:eastAsia="pt-PT"/>
    </w:rPr>
  </w:style>
  <w:style w:type="paragraph" w:styleId="Corpodetexto">
    <w:name w:val="Body Text"/>
    <w:basedOn w:val="Normal"/>
    <w:link w:val="CorpodetextoCarter"/>
    <w:uiPriority w:val="1"/>
    <w:qFormat/>
    <w:rsid w:val="009002AC"/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9002AC"/>
    <w:rPr>
      <w:rFonts w:ascii="Book Antiqua" w:eastAsiaTheme="minorEastAsia" w:hAnsi="Book Antiqua" w:cs="Book Antiqua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FC27E3"/>
    <w:pPr>
      <w:ind w:left="1162" w:hanging="360"/>
      <w:jc w:val="both"/>
    </w:pPr>
    <w:rPr>
      <w:sz w:val="24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C27E3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C27E3"/>
    <w:rPr>
      <w:rFonts w:ascii="Book Antiqua" w:eastAsiaTheme="minorEastAsia" w:hAnsi="Book Antiqua" w:cs="Book Antiqu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C27E3"/>
    <w:rPr>
      <w:vertAlign w:val="superscript"/>
    </w:rPr>
  </w:style>
  <w:style w:type="paragraph" w:styleId="Reviso">
    <w:name w:val="Revision"/>
    <w:hidden/>
    <w:uiPriority w:val="99"/>
    <w:semiHidden/>
    <w:rsid w:val="00E26521"/>
    <w:pPr>
      <w:spacing w:after="0" w:line="240" w:lineRule="auto"/>
    </w:pPr>
    <w:rPr>
      <w:rFonts w:ascii="Book Antiqua" w:eastAsiaTheme="minorEastAsia" w:hAnsi="Book Antiqua" w:cs="Book Antiqua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2652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2652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26521"/>
    <w:rPr>
      <w:rFonts w:ascii="Book Antiqua" w:eastAsiaTheme="minorEastAsia" w:hAnsi="Book Antiqua" w:cs="Book Antiqua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2652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26521"/>
    <w:rPr>
      <w:rFonts w:ascii="Book Antiqua" w:eastAsiaTheme="minorEastAsia" w:hAnsi="Book Antiqua" w:cs="Book Antiqua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C58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C5816"/>
    <w:rPr>
      <w:rFonts w:ascii="Segoe UI" w:eastAsiaTheme="minorEastAsia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7611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6117"/>
    <w:rPr>
      <w:rFonts w:ascii="Book Antiqua" w:eastAsiaTheme="minorEastAsia" w:hAnsi="Book Antiqua" w:cs="Book Antiqu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A7611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6117"/>
    <w:rPr>
      <w:rFonts w:ascii="Book Antiqua" w:eastAsiaTheme="minorEastAsia" w:hAnsi="Book Antiqua" w:cs="Book Antiqua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BB26B160976446A8EF6DD0F6A54B97" ma:contentTypeVersion="11" ma:contentTypeDescription="Criar um novo documento." ma:contentTypeScope="" ma:versionID="10a27f00d895a71d73c0b54549339d2e">
  <xsd:schema xmlns:xsd="http://www.w3.org/2001/XMLSchema" xmlns:xs="http://www.w3.org/2001/XMLSchema" xmlns:p="http://schemas.microsoft.com/office/2006/metadata/properties" xmlns:ns2="35237b00-3aa0-4784-997b-89bf9c090233" xmlns:ns3="dd809f0c-a2f8-4c3f-894c-dfd0e836c042" targetNamespace="http://schemas.microsoft.com/office/2006/metadata/properties" ma:root="true" ma:fieldsID="8f83698ef89023604154bd49cc901193" ns2:_="" ns3:_="">
    <xsd:import namespace="35237b00-3aa0-4784-997b-89bf9c090233"/>
    <xsd:import namespace="dd809f0c-a2f8-4c3f-894c-dfd0e836c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b00-3aa0-4784-997b-89bf9c090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m" ma:readOnly="false" ma:fieldId="{5cf76f15-5ced-4ddc-b409-7134ff3c332f}" ma:taxonomyMulti="true" ma:sspId="27743cb6-17b7-4513-93b7-b1ab69736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9f0c-a2f8-4c3f-894c-dfd0e836c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7cdfb8-89e1-4f7f-9e00-b28b08d6cda3}" ma:internalName="TaxCatchAll" ma:showField="CatchAllData" ma:web="dd809f0c-a2f8-4c3f-894c-dfd0e836c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7b00-3aa0-4784-997b-89bf9c090233">
      <Terms xmlns="http://schemas.microsoft.com/office/infopath/2007/PartnerControls"/>
    </lcf76f155ced4ddcb4097134ff3c332f>
    <TaxCatchAll xmlns="dd809f0c-a2f8-4c3f-894c-dfd0e836c042" xsi:nil="true"/>
  </documentManagement>
</p:properties>
</file>

<file path=customXml/itemProps1.xml><?xml version="1.0" encoding="utf-8"?>
<ds:datastoreItem xmlns:ds="http://schemas.openxmlformats.org/officeDocument/2006/customXml" ds:itemID="{7C05C9A2-7196-4D47-8667-E9FE9F1DD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BA5F25-9CE2-4B0F-BDF7-24B009987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b00-3aa0-4784-997b-89bf9c090233"/>
    <ds:schemaRef ds:uri="dd809f0c-a2f8-4c3f-894c-dfd0e836c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D420B-E93C-457D-81DC-ABB0CEEA69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5114B-FAC7-42E6-A048-DE4139617BF9}">
  <ds:schemaRefs>
    <ds:schemaRef ds:uri="http://schemas.microsoft.com/office/2006/metadata/properties"/>
    <ds:schemaRef ds:uri="http://schemas.microsoft.com/office/infopath/2007/PartnerControls"/>
    <ds:schemaRef ds:uri="35237b00-3aa0-4784-997b-89bf9c090233"/>
    <ds:schemaRef ds:uri="dd809f0c-a2f8-4c3f-894c-dfd0e836c0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GSEAEne</dc:creator>
  <cp:keywords/>
  <dc:description/>
  <cp:lastModifiedBy>DGEG</cp:lastModifiedBy>
  <cp:revision>3</cp:revision>
  <cp:lastPrinted>2023-07-11T10:11:00Z</cp:lastPrinted>
  <dcterms:created xsi:type="dcterms:W3CDTF">2024-05-28T09:31:00Z</dcterms:created>
  <dcterms:modified xsi:type="dcterms:W3CDTF">2024-05-28T09:46:00Z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0x0101006ABB26B160976446A8EF6DD0F6A54B97</vt:lpwstr>
  </property>
  <property fmtid="{D5CDD505-2E9C-101B-9397-08002B2CF9AE}" pid="3" name="GrammarlyDocumentId">
    <vt:lpwstr>ab412884d65bfdce778c154c78f2633d2962532c28f3489ffaea9a0964558ff3</vt:lpwstr>
  </property>
  <property fmtid="{D5CDD505-2E9C-101B-9397-08002B2CF9AE}" pid="4" name="MediaServiceImageTags">
    <vt:lpwstr/>
  </property>
</Properties>
</file>