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6E698" w14:textId="6F16FEA1" w:rsidR="00EE1C95" w:rsidRPr="00BE3484" w:rsidRDefault="00B35719" w:rsidP="004F390F">
      <w:pPr>
        <w:spacing w:before="120" w:after="120"/>
        <w:jc w:val="center"/>
        <w:rPr>
          <w:rFonts w:ascii="Times New Roman" w:hAnsi="Times New Roman" w:cs="Times New Roman"/>
          <w:b/>
          <w:iCs/>
        </w:rPr>
      </w:pPr>
      <w:r>
        <w:rPr>
          <w:rFonts w:ascii="Times New Roman" w:hAnsi="Times New Roman"/>
          <w:b/>
        </w:rPr>
        <w:t xml:space="preserve">Application for </w:t>
      </w:r>
      <w:r w:rsidR="0055449B">
        <w:rPr>
          <w:rFonts w:ascii="Times New Roman" w:hAnsi="Times New Roman"/>
          <w:b/>
        </w:rPr>
        <w:t>A</w:t>
      </w:r>
      <w:r>
        <w:rPr>
          <w:rFonts w:ascii="Times New Roman" w:hAnsi="Times New Roman"/>
          <w:b/>
        </w:rPr>
        <w:t xml:space="preserve">dmission as a </w:t>
      </w:r>
      <w:r w:rsidR="0055449B">
        <w:rPr>
          <w:rFonts w:ascii="Times New Roman" w:hAnsi="Times New Roman"/>
          <w:b/>
        </w:rPr>
        <w:t>R</w:t>
      </w:r>
      <w:r>
        <w:rPr>
          <w:rFonts w:ascii="Times New Roman" w:hAnsi="Times New Roman"/>
          <w:b/>
        </w:rPr>
        <w:t xml:space="preserve">egistered </w:t>
      </w:r>
      <w:r w:rsidR="0055449B">
        <w:rPr>
          <w:rFonts w:ascii="Times New Roman" w:hAnsi="Times New Roman"/>
          <w:b/>
        </w:rPr>
        <w:t>P</w:t>
      </w:r>
      <w:r>
        <w:rPr>
          <w:rFonts w:ascii="Times New Roman" w:hAnsi="Times New Roman"/>
          <w:b/>
        </w:rPr>
        <w:t xml:space="preserve">articipant in the </w:t>
      </w:r>
      <w:r w:rsidR="0055449B">
        <w:rPr>
          <w:rFonts w:ascii="Times New Roman" w:hAnsi="Times New Roman"/>
          <w:b/>
        </w:rPr>
        <w:t>Auctions GO-PT</w:t>
      </w:r>
    </w:p>
    <w:p w14:paraId="7DE93280" w14:textId="77777777" w:rsidR="00B35719" w:rsidRPr="00BE3484" w:rsidRDefault="00B35719" w:rsidP="008809FE">
      <w:pPr>
        <w:spacing w:before="120" w:after="120"/>
        <w:jc w:val="center"/>
        <w:rPr>
          <w:rFonts w:ascii="Times New Roman" w:hAnsi="Times New Roman" w:cs="Times New Roman"/>
          <w:b/>
          <w:iCs/>
        </w:rPr>
      </w:pPr>
    </w:p>
    <w:p w14:paraId="76435E2B" w14:textId="77777777" w:rsidR="002C428B" w:rsidRPr="00BE3484" w:rsidRDefault="002C428B" w:rsidP="004F390F">
      <w:pPr>
        <w:pStyle w:val="Minuta-Texto"/>
        <w:spacing w:before="120"/>
        <w:ind w:left="5102"/>
        <w:rPr>
          <w:rFonts w:ascii="Times New Roman" w:hAnsi="Times New Roman"/>
          <w:sz w:val="22"/>
          <w:szCs w:val="22"/>
        </w:rPr>
      </w:pPr>
    </w:p>
    <w:p w14:paraId="118099A0" w14:textId="77777777" w:rsidR="00E43F01" w:rsidRPr="00BE3484" w:rsidRDefault="00E43F01" w:rsidP="004F390F">
      <w:pPr>
        <w:pStyle w:val="Minuta-Texto"/>
        <w:spacing w:before="120"/>
        <w:ind w:left="5102"/>
        <w:rPr>
          <w:rFonts w:ascii="Times New Roman" w:hAnsi="Times New Roman"/>
          <w:sz w:val="22"/>
          <w:szCs w:val="22"/>
        </w:rPr>
      </w:pPr>
      <w:r>
        <w:rPr>
          <w:rFonts w:ascii="Times New Roman" w:hAnsi="Times New Roman"/>
          <w:sz w:val="22"/>
        </w:rPr>
        <w:t>Letter to be addressed to</w:t>
      </w:r>
    </w:p>
    <w:p w14:paraId="0D92484C" w14:textId="77777777" w:rsidR="00932830" w:rsidRPr="00BE3484" w:rsidRDefault="009D1392" w:rsidP="008809FE">
      <w:pPr>
        <w:pStyle w:val="Minuta-Texto"/>
        <w:spacing w:before="120"/>
        <w:ind w:left="5102"/>
        <w:rPr>
          <w:rFonts w:ascii="Times New Roman" w:hAnsi="Times New Roman"/>
          <w:sz w:val="22"/>
          <w:szCs w:val="22"/>
        </w:rPr>
      </w:pPr>
      <w:r>
        <w:rPr>
          <w:rFonts w:ascii="Times New Roman" w:hAnsi="Times New Roman"/>
          <w:sz w:val="22"/>
        </w:rPr>
        <w:t xml:space="preserve">Dear Sir/Madam, </w:t>
      </w:r>
    </w:p>
    <w:p w14:paraId="3FEC55CA" w14:textId="77777777" w:rsidR="00E43F01" w:rsidRPr="00BE3484" w:rsidRDefault="00E43F01" w:rsidP="004F390F">
      <w:pPr>
        <w:pStyle w:val="Minuta-Texto"/>
        <w:spacing w:before="120"/>
        <w:ind w:left="5102"/>
        <w:rPr>
          <w:rFonts w:ascii="Times New Roman" w:hAnsi="Times New Roman"/>
          <w:sz w:val="22"/>
          <w:szCs w:val="22"/>
        </w:rPr>
      </w:pPr>
      <w:r>
        <w:rPr>
          <w:rFonts w:ascii="Times New Roman" w:hAnsi="Times New Roman"/>
          <w:sz w:val="22"/>
        </w:rPr>
        <w:t>Chair of the Board of Directors of OMIP – Pólo Português, S.G.M.R, S.A.</w:t>
      </w:r>
    </w:p>
    <w:p w14:paraId="68A3F97A" w14:textId="77777777" w:rsidR="00E43F01" w:rsidRPr="00CC0AE2" w:rsidRDefault="00E43F01" w:rsidP="004F390F">
      <w:pPr>
        <w:pStyle w:val="Minuta-Texto"/>
        <w:spacing w:before="120"/>
        <w:ind w:left="5102"/>
        <w:rPr>
          <w:rFonts w:ascii="Times New Roman" w:hAnsi="Times New Roman"/>
          <w:sz w:val="22"/>
          <w:szCs w:val="22"/>
          <w:lang w:val="pt-PT"/>
        </w:rPr>
      </w:pPr>
      <w:r w:rsidRPr="00CC0AE2">
        <w:rPr>
          <w:rFonts w:ascii="Times New Roman" w:hAnsi="Times New Roman"/>
          <w:sz w:val="22"/>
          <w:lang w:val="pt-PT"/>
        </w:rPr>
        <w:t xml:space="preserve">Av. Casal Ribeiro, N.º14, 8.º </w:t>
      </w:r>
    </w:p>
    <w:p w14:paraId="75A6A804" w14:textId="77777777" w:rsidR="00E43F01" w:rsidRPr="00BE3484" w:rsidRDefault="00E43F01" w:rsidP="004F390F">
      <w:pPr>
        <w:pStyle w:val="Minuta-Texto"/>
        <w:spacing w:before="120"/>
        <w:ind w:left="5102"/>
        <w:rPr>
          <w:rFonts w:ascii="Times New Roman" w:hAnsi="Times New Roman"/>
          <w:sz w:val="22"/>
          <w:szCs w:val="22"/>
        </w:rPr>
      </w:pPr>
      <w:r>
        <w:rPr>
          <w:rFonts w:ascii="Times New Roman" w:hAnsi="Times New Roman"/>
          <w:sz w:val="22"/>
        </w:rPr>
        <w:t>1000-092 Lisbon</w:t>
      </w:r>
    </w:p>
    <w:p w14:paraId="15889479" w14:textId="77777777" w:rsidR="004260CA" w:rsidRPr="00BE3484" w:rsidRDefault="004260CA" w:rsidP="004F390F">
      <w:pPr>
        <w:pStyle w:val="Minuta-Texto"/>
        <w:spacing w:before="120"/>
        <w:rPr>
          <w:rFonts w:ascii="Times New Roman" w:hAnsi="Times New Roman"/>
          <w:sz w:val="22"/>
          <w:szCs w:val="22"/>
        </w:rPr>
      </w:pPr>
    </w:p>
    <w:p w14:paraId="33B4928A" w14:textId="4A653CA3" w:rsidR="004260CA" w:rsidRPr="00BE3484" w:rsidRDefault="00E43F01" w:rsidP="004F390F">
      <w:pPr>
        <w:pStyle w:val="Minuta-Texto"/>
        <w:spacing w:before="120"/>
        <w:rPr>
          <w:rFonts w:ascii="Times New Roman" w:hAnsi="Times New Roman"/>
          <w:sz w:val="22"/>
          <w:szCs w:val="22"/>
        </w:rPr>
      </w:pPr>
      <w:r>
        <w:rPr>
          <w:rFonts w:ascii="Times New Roman" w:hAnsi="Times New Roman"/>
          <w:sz w:val="22"/>
          <w:highlight w:val="yellow"/>
        </w:rPr>
        <w:t>[</w:t>
      </w:r>
      <w:r w:rsidR="00CC0AE2">
        <w:rPr>
          <w:rFonts w:ascii="Times New Roman" w:hAnsi="Times New Roman"/>
          <w:i/>
          <w:sz w:val="22"/>
          <w:highlight w:val="yellow"/>
        </w:rPr>
        <w:t>Name</w:t>
      </w:r>
      <w:r>
        <w:rPr>
          <w:rFonts w:ascii="Times New Roman" w:hAnsi="Times New Roman"/>
          <w:i/>
          <w:sz w:val="22"/>
          <w:highlight w:val="yellow"/>
        </w:rPr>
        <w:t xml:space="preserve"> of the legal representative of the applicant or, where a natural person, of the applicant</w:t>
      </w:r>
      <w:r>
        <w:rPr>
          <w:rFonts w:ascii="Times New Roman" w:hAnsi="Times New Roman"/>
          <w:sz w:val="22"/>
          <w:highlight w:val="yellow"/>
        </w:rPr>
        <w:t>]</w:t>
      </w:r>
      <w:r>
        <w:rPr>
          <w:rFonts w:ascii="Times New Roman" w:hAnsi="Times New Roman"/>
          <w:sz w:val="22"/>
        </w:rPr>
        <w:t xml:space="preserve">, as the legal representative of </w:t>
      </w:r>
      <w:r>
        <w:rPr>
          <w:rFonts w:ascii="Times New Roman" w:hAnsi="Times New Roman"/>
          <w:sz w:val="22"/>
          <w:highlight w:val="yellow"/>
        </w:rPr>
        <w:t>[</w:t>
      </w:r>
      <w:r w:rsidR="00CC0AE2">
        <w:rPr>
          <w:rFonts w:ascii="Times New Roman" w:hAnsi="Times New Roman"/>
          <w:i/>
          <w:sz w:val="22"/>
          <w:highlight w:val="yellow"/>
        </w:rPr>
        <w:t>name</w:t>
      </w:r>
      <w:r>
        <w:rPr>
          <w:rFonts w:ascii="Times New Roman" w:hAnsi="Times New Roman"/>
          <w:i/>
          <w:sz w:val="22"/>
          <w:highlight w:val="yellow"/>
        </w:rPr>
        <w:t xml:space="preserve"> of the applicant</w:t>
      </w:r>
      <w:r>
        <w:rPr>
          <w:rFonts w:ascii="Times New Roman" w:hAnsi="Times New Roman"/>
          <w:sz w:val="22"/>
          <w:highlight w:val="yellow"/>
        </w:rPr>
        <w:t>]</w:t>
      </w:r>
      <w:r>
        <w:rPr>
          <w:rFonts w:ascii="Times New Roman" w:hAnsi="Times New Roman"/>
          <w:sz w:val="22"/>
        </w:rPr>
        <w:t>, in accordance with the copy [</w:t>
      </w:r>
      <w:r>
        <w:rPr>
          <w:rFonts w:ascii="Times New Roman" w:hAnsi="Times New Roman"/>
          <w:i/>
          <w:sz w:val="22"/>
          <w:highlight w:val="yellow"/>
        </w:rPr>
        <w:t>of the articles of association or permanent business registration certificate</w:t>
      </w:r>
      <w:r>
        <w:rPr>
          <w:rFonts w:ascii="Times New Roman" w:hAnsi="Times New Roman"/>
          <w:sz w:val="22"/>
        </w:rPr>
        <w:t>] attached hereto, participant in the</w:t>
      </w:r>
      <w:r w:rsidR="0055449B">
        <w:rPr>
          <w:rFonts w:ascii="Times New Roman" w:hAnsi="Times New Roman"/>
          <w:sz w:val="22"/>
        </w:rPr>
        <w:t xml:space="preserve"> EEGO (“Guarantees of Origin Issuing Body”) system </w:t>
      </w:r>
      <w:r>
        <w:rPr>
          <w:rFonts w:ascii="Times New Roman" w:hAnsi="Times New Roman"/>
          <w:sz w:val="22"/>
        </w:rPr>
        <w:t xml:space="preserve">registered under the code </w:t>
      </w:r>
      <w:r>
        <w:rPr>
          <w:rFonts w:ascii="Times New Roman" w:hAnsi="Times New Roman"/>
          <w:sz w:val="22"/>
          <w:highlight w:val="yellow"/>
        </w:rPr>
        <w:t>[•]</w:t>
      </w:r>
      <w:r>
        <w:rPr>
          <w:rFonts w:ascii="Times New Roman" w:hAnsi="Times New Roman"/>
          <w:sz w:val="22"/>
        </w:rPr>
        <w:t xml:space="preserve">, hereinafter referred to as “Applicant”, having read the </w:t>
      </w:r>
      <w:r w:rsidR="0055449B">
        <w:rPr>
          <w:rFonts w:ascii="Times New Roman" w:hAnsi="Times New Roman"/>
          <w:sz w:val="22"/>
        </w:rPr>
        <w:t>R</w:t>
      </w:r>
      <w:r>
        <w:rPr>
          <w:rFonts w:ascii="Times New Roman" w:hAnsi="Times New Roman"/>
          <w:sz w:val="22"/>
        </w:rPr>
        <w:t xml:space="preserve">ules for participation in the </w:t>
      </w:r>
      <w:r w:rsidR="0055449B">
        <w:rPr>
          <w:rFonts w:ascii="Times New Roman" w:hAnsi="Times New Roman"/>
          <w:sz w:val="22"/>
        </w:rPr>
        <w:t>A</w:t>
      </w:r>
      <w:r>
        <w:rPr>
          <w:rFonts w:ascii="Times New Roman" w:hAnsi="Times New Roman"/>
          <w:sz w:val="22"/>
        </w:rPr>
        <w:t xml:space="preserve">uctions for </w:t>
      </w:r>
      <w:r w:rsidR="0055449B">
        <w:rPr>
          <w:rFonts w:ascii="Times New Roman" w:hAnsi="Times New Roman"/>
          <w:sz w:val="22"/>
        </w:rPr>
        <w:t>G</w:t>
      </w:r>
      <w:r>
        <w:rPr>
          <w:rFonts w:ascii="Times New Roman" w:hAnsi="Times New Roman"/>
          <w:sz w:val="22"/>
        </w:rPr>
        <w:t xml:space="preserve">uarantees of </w:t>
      </w:r>
      <w:r w:rsidR="0055449B">
        <w:rPr>
          <w:rFonts w:ascii="Times New Roman" w:hAnsi="Times New Roman"/>
          <w:sz w:val="22"/>
        </w:rPr>
        <w:t>O</w:t>
      </w:r>
      <w:r>
        <w:rPr>
          <w:rFonts w:ascii="Times New Roman" w:hAnsi="Times New Roman"/>
          <w:sz w:val="22"/>
        </w:rPr>
        <w:t xml:space="preserve">rigin </w:t>
      </w:r>
      <w:r w:rsidR="0055449B">
        <w:rPr>
          <w:rFonts w:ascii="Times New Roman" w:hAnsi="Times New Roman"/>
          <w:sz w:val="22"/>
        </w:rPr>
        <w:t>P</w:t>
      </w:r>
      <w:r w:rsidR="00860A04">
        <w:rPr>
          <w:rFonts w:ascii="Times New Roman" w:hAnsi="Times New Roman"/>
          <w:sz w:val="22"/>
        </w:rPr>
        <w:t xml:space="preserve">roperty of </w:t>
      </w:r>
      <w:r>
        <w:rPr>
          <w:rFonts w:ascii="Times New Roman" w:hAnsi="Times New Roman"/>
          <w:sz w:val="22"/>
        </w:rPr>
        <w:t>the Portuguese National Electrical System (hereinafter “</w:t>
      </w:r>
      <w:r w:rsidR="0055449B">
        <w:rPr>
          <w:rFonts w:ascii="Times New Roman" w:hAnsi="Times New Roman"/>
          <w:sz w:val="22"/>
        </w:rPr>
        <w:t xml:space="preserve">Auctions </w:t>
      </w:r>
      <w:r>
        <w:rPr>
          <w:rFonts w:ascii="Times New Roman" w:hAnsi="Times New Roman"/>
          <w:sz w:val="22"/>
        </w:rPr>
        <w:t>GO-PT”), approved by Order No. 6560-B/2021 of the Directorate</w:t>
      </w:r>
      <w:r w:rsidR="00AC035E">
        <w:rPr>
          <w:rFonts w:ascii="Times New Roman" w:hAnsi="Times New Roman"/>
          <w:sz w:val="22"/>
        </w:rPr>
        <w:t>-</w:t>
      </w:r>
      <w:r>
        <w:rPr>
          <w:rFonts w:ascii="Times New Roman" w:hAnsi="Times New Roman"/>
          <w:sz w:val="22"/>
        </w:rPr>
        <w:t xml:space="preserve">General for Energy and Geology, hereby applies for admission as a registered participant in the </w:t>
      </w:r>
      <w:r w:rsidR="0055449B">
        <w:rPr>
          <w:rFonts w:ascii="Times New Roman" w:hAnsi="Times New Roman"/>
          <w:sz w:val="22"/>
        </w:rPr>
        <w:t>Auctions GO-PT</w:t>
      </w:r>
      <w:r>
        <w:rPr>
          <w:rFonts w:ascii="Times New Roman" w:hAnsi="Times New Roman"/>
          <w:sz w:val="22"/>
        </w:rPr>
        <w:t>.</w:t>
      </w:r>
    </w:p>
    <w:p w14:paraId="316694E5" w14:textId="77777777" w:rsidR="007C2D39" w:rsidRPr="00BE3484" w:rsidRDefault="007C2D39" w:rsidP="004F390F">
      <w:pPr>
        <w:pStyle w:val="Minuta-Texto"/>
        <w:spacing w:before="120"/>
        <w:rPr>
          <w:rFonts w:ascii="Times New Roman" w:hAnsi="Times New Roman"/>
          <w:sz w:val="22"/>
          <w:szCs w:val="22"/>
        </w:rPr>
      </w:pPr>
    </w:p>
    <w:p w14:paraId="476AEA16" w14:textId="77777777" w:rsidR="00FE6B92" w:rsidRPr="00BE3484" w:rsidRDefault="00FE6B92"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To this end, the Applicant identifies the following shareholder(s), who directly or indirectly hold an equity interest of more than 10% in the applicant company:</w:t>
      </w:r>
    </w:p>
    <w:p w14:paraId="6BA3201C" w14:textId="77777777" w:rsidR="00FE6B92" w:rsidRPr="00BE3484" w:rsidRDefault="00FE6B92" w:rsidP="00BE3484">
      <w:pPr>
        <w:pStyle w:val="PargrafodaLista"/>
        <w:numPr>
          <w:ilvl w:val="0"/>
          <w:numId w:val="1"/>
        </w:numPr>
        <w:spacing w:before="120" w:after="120" w:line="360" w:lineRule="auto"/>
        <w:ind w:left="993" w:hanging="426"/>
        <w:contextualSpacing/>
        <w:jc w:val="both"/>
        <w:rPr>
          <w:rFonts w:ascii="Times New Roman" w:hAnsi="Times New Roman" w:cs="Times New Roman"/>
        </w:rPr>
      </w:pPr>
      <w:r>
        <w:rPr>
          <w:rFonts w:ascii="Times New Roman" w:hAnsi="Times New Roman"/>
          <w:highlight w:val="yellow"/>
        </w:rPr>
        <w:t>[•]</w:t>
      </w:r>
      <w:r>
        <w:rPr>
          <w:rFonts w:ascii="Times New Roman" w:hAnsi="Times New Roman"/>
        </w:rPr>
        <w:t>;</w:t>
      </w:r>
    </w:p>
    <w:p w14:paraId="6C13D55E" w14:textId="77777777" w:rsidR="00FE6B92" w:rsidRPr="00BE3484" w:rsidRDefault="00FE6B92" w:rsidP="00BE3484">
      <w:pPr>
        <w:pStyle w:val="PargrafodaLista"/>
        <w:numPr>
          <w:ilvl w:val="0"/>
          <w:numId w:val="1"/>
        </w:numPr>
        <w:spacing w:before="120" w:after="120" w:line="360" w:lineRule="auto"/>
        <w:ind w:left="993" w:hanging="426"/>
        <w:contextualSpacing/>
        <w:jc w:val="both"/>
        <w:rPr>
          <w:rFonts w:ascii="Times New Roman" w:hAnsi="Times New Roman" w:cs="Times New Roman"/>
        </w:rPr>
      </w:pPr>
      <w:r>
        <w:rPr>
          <w:rFonts w:ascii="Times New Roman" w:hAnsi="Times New Roman"/>
          <w:highlight w:val="yellow"/>
        </w:rPr>
        <w:t>[•]</w:t>
      </w:r>
      <w:r>
        <w:rPr>
          <w:rFonts w:ascii="Times New Roman" w:hAnsi="Times New Roman"/>
        </w:rPr>
        <w:t>.</w:t>
      </w:r>
    </w:p>
    <w:p w14:paraId="4FED7973" w14:textId="77777777" w:rsidR="00FE6B92" w:rsidRPr="00BE3484" w:rsidRDefault="00FE6B92" w:rsidP="008809FE">
      <w:pPr>
        <w:pStyle w:val="Minuta-Texto"/>
        <w:spacing w:before="120"/>
        <w:rPr>
          <w:rFonts w:ascii="Times New Roman" w:hAnsi="Times New Roman"/>
          <w:sz w:val="22"/>
          <w:szCs w:val="22"/>
        </w:rPr>
      </w:pPr>
    </w:p>
    <w:p w14:paraId="645905D2" w14:textId="77777777" w:rsidR="00FD5D03" w:rsidRPr="00BE3484" w:rsidRDefault="00FD5D03"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The Applicant also provides the following contact information:</w:t>
      </w:r>
    </w:p>
    <w:p w14:paraId="46412959" w14:textId="77777777" w:rsidR="00FC7C53" w:rsidRPr="00BE3484" w:rsidRDefault="00294AF7" w:rsidP="00BE3484">
      <w:pPr>
        <w:pStyle w:val="PargrafodaLista"/>
        <w:numPr>
          <w:ilvl w:val="0"/>
          <w:numId w:val="6"/>
        </w:numPr>
        <w:spacing w:before="120" w:after="120" w:line="360" w:lineRule="auto"/>
        <w:ind w:left="993" w:hanging="426"/>
        <w:contextualSpacing/>
        <w:jc w:val="both"/>
        <w:rPr>
          <w:rFonts w:ascii="Times New Roman" w:hAnsi="Times New Roman" w:cs="Times New Roman"/>
        </w:rPr>
      </w:pPr>
      <w:r>
        <w:rPr>
          <w:rFonts w:ascii="Times New Roman" w:hAnsi="Times New Roman"/>
        </w:rPr>
        <w:t xml:space="preserve">General contact information: </w:t>
      </w:r>
    </w:p>
    <w:p w14:paraId="4CDC0FED" w14:textId="77777777" w:rsidR="00FC7C53" w:rsidRPr="00BE3484" w:rsidRDefault="00FC7C53" w:rsidP="00BE3484">
      <w:pPr>
        <w:pStyle w:val="PargrafodaLista"/>
        <w:spacing w:before="120" w:after="120" w:line="360" w:lineRule="auto"/>
        <w:ind w:left="993"/>
        <w:contextualSpacing/>
        <w:jc w:val="both"/>
        <w:rPr>
          <w:rFonts w:ascii="Times New Roman" w:hAnsi="Times New Roman" w:cs="Times New Roman"/>
        </w:rPr>
      </w:pPr>
      <w:r>
        <w:rPr>
          <w:rFonts w:ascii="Times New Roman" w:hAnsi="Times New Roman"/>
        </w:rPr>
        <w:t xml:space="preserve">Telephone number: </w:t>
      </w:r>
      <w:r>
        <w:rPr>
          <w:rFonts w:ascii="Times New Roman" w:hAnsi="Times New Roman"/>
          <w:highlight w:val="yellow"/>
        </w:rPr>
        <w:t>[•]</w:t>
      </w:r>
      <w:r>
        <w:rPr>
          <w:rFonts w:ascii="Times New Roman" w:hAnsi="Times New Roman"/>
        </w:rPr>
        <w:t>;</w:t>
      </w:r>
    </w:p>
    <w:p w14:paraId="315BD3B6" w14:textId="77777777" w:rsidR="00294AF7" w:rsidRPr="00BE3484" w:rsidRDefault="00AC035E" w:rsidP="00BE3484">
      <w:pPr>
        <w:pStyle w:val="PargrafodaLista"/>
        <w:spacing w:before="120" w:after="120" w:line="360" w:lineRule="auto"/>
        <w:ind w:left="993"/>
        <w:contextualSpacing/>
        <w:jc w:val="both"/>
        <w:rPr>
          <w:rFonts w:ascii="Times New Roman" w:hAnsi="Times New Roman" w:cs="Times New Roman"/>
        </w:rPr>
      </w:pPr>
      <w:r>
        <w:rPr>
          <w:rFonts w:ascii="Times New Roman" w:hAnsi="Times New Roman"/>
        </w:rPr>
        <w:t>E</w:t>
      </w:r>
      <w:r w:rsidR="00FC7C53">
        <w:rPr>
          <w:rFonts w:ascii="Times New Roman" w:hAnsi="Times New Roman"/>
        </w:rPr>
        <w:t xml:space="preserve">-mail address: </w:t>
      </w:r>
      <w:r w:rsidR="00FC7C53">
        <w:rPr>
          <w:rFonts w:ascii="Times New Roman" w:hAnsi="Times New Roman"/>
          <w:highlight w:val="yellow"/>
        </w:rPr>
        <w:t>[•]</w:t>
      </w:r>
      <w:r w:rsidR="00FC7C53">
        <w:rPr>
          <w:rFonts w:ascii="Times New Roman" w:hAnsi="Times New Roman"/>
        </w:rPr>
        <w:t>.</w:t>
      </w:r>
    </w:p>
    <w:p w14:paraId="2AD5B413" w14:textId="68E66909" w:rsidR="00294AF7" w:rsidRPr="00BE3484" w:rsidRDefault="00FC7C53" w:rsidP="00BE3484">
      <w:pPr>
        <w:pStyle w:val="PargrafodaLista"/>
        <w:numPr>
          <w:ilvl w:val="0"/>
          <w:numId w:val="6"/>
        </w:numPr>
        <w:spacing w:before="120" w:after="120" w:line="360" w:lineRule="auto"/>
        <w:ind w:left="993" w:hanging="426"/>
        <w:contextualSpacing/>
        <w:jc w:val="both"/>
        <w:rPr>
          <w:rFonts w:ascii="Times New Roman" w:hAnsi="Times New Roman" w:cs="Times New Roman"/>
        </w:rPr>
      </w:pPr>
      <w:r>
        <w:rPr>
          <w:rFonts w:ascii="Times New Roman" w:hAnsi="Times New Roman"/>
        </w:rPr>
        <w:t xml:space="preserve">Authorised </w:t>
      </w:r>
      <w:r w:rsidR="0055449B">
        <w:rPr>
          <w:rFonts w:ascii="Times New Roman" w:hAnsi="Times New Roman"/>
        </w:rPr>
        <w:t>R</w:t>
      </w:r>
      <w:r>
        <w:rPr>
          <w:rFonts w:ascii="Times New Roman" w:hAnsi="Times New Roman"/>
        </w:rPr>
        <w:t>epresentative</w:t>
      </w:r>
    </w:p>
    <w:p w14:paraId="636A1744" w14:textId="77777777" w:rsidR="00FC7C53" w:rsidRPr="00BE3484" w:rsidRDefault="00FC7C53" w:rsidP="00BE3484">
      <w:pPr>
        <w:pStyle w:val="PargrafodaLista"/>
        <w:spacing w:before="120" w:after="120" w:line="360" w:lineRule="auto"/>
        <w:ind w:left="993"/>
        <w:contextualSpacing/>
        <w:jc w:val="both"/>
        <w:rPr>
          <w:rFonts w:ascii="Times New Roman" w:hAnsi="Times New Roman" w:cs="Times New Roman"/>
        </w:rPr>
      </w:pPr>
      <w:r>
        <w:rPr>
          <w:rFonts w:ascii="Times New Roman" w:hAnsi="Times New Roman"/>
        </w:rPr>
        <w:t>[</w:t>
      </w:r>
      <w:r>
        <w:rPr>
          <w:rFonts w:ascii="Times New Roman" w:hAnsi="Times New Roman"/>
          <w:i/>
          <w:highlight w:val="yellow"/>
        </w:rPr>
        <w:t>Name</w:t>
      </w:r>
      <w:r>
        <w:rPr>
          <w:rFonts w:ascii="Times New Roman" w:hAnsi="Times New Roman"/>
        </w:rPr>
        <w:t>]</w:t>
      </w:r>
    </w:p>
    <w:p w14:paraId="780B67C9" w14:textId="77777777" w:rsidR="00FC7C53" w:rsidRPr="00BE3484" w:rsidRDefault="00FC7C53" w:rsidP="008809FE">
      <w:pPr>
        <w:pStyle w:val="PargrafodaLista"/>
        <w:spacing w:before="120" w:after="120" w:line="360" w:lineRule="auto"/>
        <w:contextualSpacing/>
        <w:jc w:val="both"/>
        <w:rPr>
          <w:rFonts w:ascii="Times New Roman" w:hAnsi="Times New Roman" w:cs="Times New Roman"/>
        </w:rPr>
      </w:pPr>
      <w:r>
        <w:rPr>
          <w:rFonts w:ascii="Times New Roman" w:hAnsi="Times New Roman"/>
        </w:rPr>
        <w:lastRenderedPageBreak/>
        <w:t xml:space="preserve">Telephone number: </w:t>
      </w:r>
      <w:r>
        <w:rPr>
          <w:rFonts w:ascii="Times New Roman" w:hAnsi="Times New Roman"/>
          <w:highlight w:val="yellow"/>
        </w:rPr>
        <w:t>[•]</w:t>
      </w:r>
      <w:r>
        <w:rPr>
          <w:rFonts w:ascii="Times New Roman" w:hAnsi="Times New Roman"/>
        </w:rPr>
        <w:t>;</w:t>
      </w:r>
    </w:p>
    <w:p w14:paraId="68999349" w14:textId="77777777" w:rsidR="00FC7C53" w:rsidRPr="00BE3484" w:rsidRDefault="00AC035E" w:rsidP="008809FE">
      <w:pPr>
        <w:pStyle w:val="PargrafodaLista"/>
        <w:spacing w:before="120" w:after="120" w:line="360" w:lineRule="auto"/>
        <w:contextualSpacing/>
        <w:jc w:val="both"/>
        <w:rPr>
          <w:rFonts w:ascii="Times New Roman" w:hAnsi="Times New Roman" w:cs="Times New Roman"/>
        </w:rPr>
      </w:pPr>
      <w:r>
        <w:rPr>
          <w:rFonts w:ascii="Times New Roman" w:hAnsi="Times New Roman"/>
        </w:rPr>
        <w:t>E</w:t>
      </w:r>
      <w:r w:rsidR="00FC7C53">
        <w:rPr>
          <w:rFonts w:ascii="Times New Roman" w:hAnsi="Times New Roman"/>
        </w:rPr>
        <w:t xml:space="preserve">-mail address: </w:t>
      </w:r>
      <w:r w:rsidR="00FC7C53">
        <w:rPr>
          <w:rFonts w:ascii="Times New Roman" w:hAnsi="Times New Roman"/>
          <w:highlight w:val="yellow"/>
        </w:rPr>
        <w:t>[•]</w:t>
      </w:r>
      <w:r w:rsidR="00FC7C53">
        <w:rPr>
          <w:rFonts w:ascii="Times New Roman" w:hAnsi="Times New Roman"/>
        </w:rPr>
        <w:t>.</w:t>
      </w:r>
    </w:p>
    <w:p w14:paraId="66B44EBA" w14:textId="5C162660" w:rsidR="00294AF7" w:rsidRPr="00BE3484" w:rsidRDefault="00FC7C53" w:rsidP="008809FE">
      <w:pPr>
        <w:pStyle w:val="PargrafodaLista"/>
        <w:numPr>
          <w:ilvl w:val="0"/>
          <w:numId w:val="6"/>
        </w:numPr>
        <w:spacing w:before="120" w:after="120" w:line="360" w:lineRule="auto"/>
        <w:contextualSpacing/>
        <w:jc w:val="both"/>
        <w:rPr>
          <w:rFonts w:ascii="Times New Roman" w:hAnsi="Times New Roman" w:cs="Times New Roman"/>
        </w:rPr>
      </w:pPr>
      <w:r>
        <w:rPr>
          <w:rFonts w:ascii="Times New Roman" w:hAnsi="Times New Roman"/>
        </w:rPr>
        <w:t xml:space="preserve">Auction </w:t>
      </w:r>
      <w:r w:rsidR="0055449B">
        <w:rPr>
          <w:rFonts w:ascii="Times New Roman" w:hAnsi="Times New Roman"/>
        </w:rPr>
        <w:t>O</w:t>
      </w:r>
      <w:r>
        <w:rPr>
          <w:rFonts w:ascii="Times New Roman" w:hAnsi="Times New Roman"/>
        </w:rPr>
        <w:t>perator</w:t>
      </w:r>
    </w:p>
    <w:p w14:paraId="2E3D3566" w14:textId="77777777" w:rsidR="00FC7C53" w:rsidRPr="00BE3484" w:rsidRDefault="00FC7C53" w:rsidP="008809FE">
      <w:pPr>
        <w:pStyle w:val="PargrafodaLista"/>
        <w:spacing w:before="120" w:after="120" w:line="360" w:lineRule="auto"/>
        <w:contextualSpacing/>
        <w:jc w:val="both"/>
        <w:rPr>
          <w:rFonts w:ascii="Times New Roman" w:hAnsi="Times New Roman" w:cs="Times New Roman"/>
        </w:rPr>
      </w:pPr>
      <w:r>
        <w:rPr>
          <w:rFonts w:ascii="Times New Roman" w:hAnsi="Times New Roman"/>
        </w:rPr>
        <w:t>[</w:t>
      </w:r>
      <w:r>
        <w:rPr>
          <w:rFonts w:ascii="Times New Roman" w:hAnsi="Times New Roman"/>
          <w:i/>
          <w:highlight w:val="yellow"/>
        </w:rPr>
        <w:t>Name and title</w:t>
      </w:r>
      <w:r>
        <w:rPr>
          <w:rFonts w:ascii="Times New Roman" w:hAnsi="Times New Roman"/>
        </w:rPr>
        <w:t>]</w:t>
      </w:r>
    </w:p>
    <w:p w14:paraId="7D365F3F" w14:textId="77777777" w:rsidR="00FC7C53" w:rsidRPr="00BE3484" w:rsidRDefault="00FC7C53" w:rsidP="008809FE">
      <w:pPr>
        <w:pStyle w:val="PargrafodaLista"/>
        <w:spacing w:before="120" w:after="120" w:line="360" w:lineRule="auto"/>
        <w:contextualSpacing/>
        <w:jc w:val="both"/>
        <w:rPr>
          <w:rFonts w:ascii="Times New Roman" w:hAnsi="Times New Roman" w:cs="Times New Roman"/>
        </w:rPr>
      </w:pPr>
      <w:r>
        <w:rPr>
          <w:rFonts w:ascii="Times New Roman" w:hAnsi="Times New Roman"/>
        </w:rPr>
        <w:t xml:space="preserve">Telephone number: </w:t>
      </w:r>
      <w:r>
        <w:rPr>
          <w:rFonts w:ascii="Times New Roman" w:hAnsi="Times New Roman"/>
          <w:highlight w:val="yellow"/>
        </w:rPr>
        <w:t>[•]</w:t>
      </w:r>
      <w:r>
        <w:rPr>
          <w:rFonts w:ascii="Times New Roman" w:hAnsi="Times New Roman"/>
        </w:rPr>
        <w:t>;</w:t>
      </w:r>
    </w:p>
    <w:p w14:paraId="29F0E1E2" w14:textId="77777777" w:rsidR="00FC7C53" w:rsidRPr="00BE3484" w:rsidRDefault="00AC035E" w:rsidP="008809FE">
      <w:pPr>
        <w:pStyle w:val="PargrafodaLista"/>
        <w:spacing w:before="120" w:after="120" w:line="360" w:lineRule="auto"/>
        <w:contextualSpacing/>
        <w:jc w:val="both"/>
        <w:rPr>
          <w:rFonts w:ascii="Times New Roman" w:hAnsi="Times New Roman" w:cs="Times New Roman"/>
        </w:rPr>
      </w:pPr>
      <w:r>
        <w:rPr>
          <w:rFonts w:ascii="Times New Roman" w:hAnsi="Times New Roman"/>
        </w:rPr>
        <w:t>E</w:t>
      </w:r>
      <w:r w:rsidR="00FC7C53">
        <w:rPr>
          <w:rFonts w:ascii="Times New Roman" w:hAnsi="Times New Roman"/>
        </w:rPr>
        <w:t xml:space="preserve">-mail address: </w:t>
      </w:r>
      <w:r w:rsidR="00FC7C53">
        <w:rPr>
          <w:rFonts w:ascii="Times New Roman" w:hAnsi="Times New Roman"/>
          <w:highlight w:val="yellow"/>
        </w:rPr>
        <w:t>[•]</w:t>
      </w:r>
      <w:r w:rsidR="00FC7C53">
        <w:rPr>
          <w:rFonts w:ascii="Times New Roman" w:hAnsi="Times New Roman"/>
        </w:rPr>
        <w:t>.</w:t>
      </w:r>
    </w:p>
    <w:p w14:paraId="19166775" w14:textId="77777777" w:rsidR="00FC7C53" w:rsidRPr="00BE3484" w:rsidRDefault="00FC7C53" w:rsidP="008809FE">
      <w:pPr>
        <w:pStyle w:val="PargrafodaLista"/>
        <w:spacing w:before="120" w:after="120"/>
        <w:rPr>
          <w:rFonts w:ascii="Times New Roman" w:hAnsi="Times New Roman" w:cs="Times New Roman"/>
        </w:rPr>
      </w:pPr>
    </w:p>
    <w:p w14:paraId="0B8BAA81" w14:textId="77777777" w:rsidR="004260CA" w:rsidRPr="00BE3484" w:rsidRDefault="00416DF9"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The Applicant further represents, on oath, to undertake the following obligations:</w:t>
      </w:r>
    </w:p>
    <w:p w14:paraId="0818D6C8" w14:textId="77777777" w:rsidR="004009AD" w:rsidRPr="00BE3484" w:rsidRDefault="00CC0AE2" w:rsidP="00A63D6B">
      <w:pPr>
        <w:pStyle w:val="PargrafodaLista"/>
        <w:numPr>
          <w:ilvl w:val="0"/>
          <w:numId w:val="5"/>
        </w:numPr>
        <w:spacing w:before="120" w:after="120" w:line="360" w:lineRule="auto"/>
        <w:ind w:left="1134" w:hanging="574"/>
        <w:contextualSpacing/>
        <w:jc w:val="both"/>
        <w:rPr>
          <w:rFonts w:ascii="Times New Roman" w:hAnsi="Times New Roman" w:cs="Times New Roman"/>
        </w:rPr>
      </w:pPr>
      <w:r>
        <w:rPr>
          <w:rFonts w:ascii="Times New Roman" w:hAnsi="Times New Roman"/>
        </w:rPr>
        <w:t>T</w:t>
      </w:r>
      <w:r w:rsidR="004009AD">
        <w:rPr>
          <w:rFonts w:ascii="Times New Roman" w:hAnsi="Times New Roman"/>
        </w:rPr>
        <w:t>o not enter into agreements or concerted practices of any kind with other applicants;</w:t>
      </w:r>
    </w:p>
    <w:p w14:paraId="3BF467CF" w14:textId="77777777" w:rsidR="004009AD" w:rsidRPr="00BE3484" w:rsidRDefault="00CC0AE2" w:rsidP="00A63D6B">
      <w:pPr>
        <w:pStyle w:val="PargrafodaLista"/>
        <w:numPr>
          <w:ilvl w:val="0"/>
          <w:numId w:val="5"/>
        </w:numPr>
        <w:spacing w:before="120" w:after="120" w:line="360" w:lineRule="auto"/>
        <w:ind w:left="1134" w:hanging="574"/>
        <w:contextualSpacing/>
        <w:jc w:val="both"/>
        <w:rPr>
          <w:rFonts w:ascii="Times New Roman" w:hAnsi="Times New Roman" w:cs="Times New Roman"/>
        </w:rPr>
      </w:pPr>
      <w:r>
        <w:rPr>
          <w:rFonts w:ascii="Times New Roman" w:hAnsi="Times New Roman"/>
        </w:rPr>
        <w:t>T</w:t>
      </w:r>
      <w:r w:rsidR="004009AD">
        <w:rPr>
          <w:rFonts w:ascii="Times New Roman" w:hAnsi="Times New Roman"/>
        </w:rPr>
        <w:t xml:space="preserve">o not provide information to other applicants who, pursuant to Article 9 of Law No. 19/2012 of 8 May 2012 and Article 101(1) of the Treaty on the Functioning of the European Union, are likely to, directly or indirectly, restrict competition, in particular regarding: </w:t>
      </w:r>
    </w:p>
    <w:p w14:paraId="2A3F5009" w14:textId="3A458A2D" w:rsidR="004009AD" w:rsidRPr="00BE3484" w:rsidRDefault="004009AD" w:rsidP="00A63D6B">
      <w:pPr>
        <w:pStyle w:val="PargrafodaLista"/>
        <w:numPr>
          <w:ilvl w:val="0"/>
          <w:numId w:val="2"/>
        </w:numPr>
        <w:spacing w:before="120" w:after="120" w:line="360" w:lineRule="auto"/>
        <w:ind w:left="1701" w:hanging="567"/>
        <w:contextualSpacing/>
        <w:jc w:val="both"/>
        <w:rPr>
          <w:rFonts w:ascii="Times New Roman" w:hAnsi="Times New Roman" w:cs="Times New Roman"/>
        </w:rPr>
      </w:pPr>
      <w:r>
        <w:rPr>
          <w:rFonts w:ascii="Times New Roman" w:hAnsi="Times New Roman"/>
        </w:rPr>
        <w:t xml:space="preserve">participation in </w:t>
      </w:r>
      <w:r w:rsidR="0055449B">
        <w:rPr>
          <w:rFonts w:ascii="Times New Roman" w:hAnsi="Times New Roman"/>
        </w:rPr>
        <w:t>Auctions GO-PT</w:t>
      </w:r>
      <w:r>
        <w:rPr>
          <w:rFonts w:ascii="Times New Roman" w:hAnsi="Times New Roman"/>
        </w:rPr>
        <w:t xml:space="preserve">; </w:t>
      </w:r>
    </w:p>
    <w:p w14:paraId="59EE28F5" w14:textId="77777777" w:rsidR="004009AD" w:rsidRPr="00BE3484" w:rsidRDefault="004009AD" w:rsidP="00A63D6B">
      <w:pPr>
        <w:pStyle w:val="PargrafodaLista"/>
        <w:numPr>
          <w:ilvl w:val="0"/>
          <w:numId w:val="2"/>
        </w:numPr>
        <w:spacing w:before="120" w:after="120" w:line="360" w:lineRule="auto"/>
        <w:ind w:left="1701" w:hanging="567"/>
        <w:contextualSpacing/>
        <w:jc w:val="both"/>
        <w:rPr>
          <w:rFonts w:ascii="Times New Roman" w:hAnsi="Times New Roman" w:cs="Times New Roman"/>
        </w:rPr>
      </w:pPr>
      <w:r>
        <w:rPr>
          <w:rFonts w:ascii="Times New Roman" w:hAnsi="Times New Roman"/>
        </w:rPr>
        <w:t xml:space="preserve">quantities offered and consequent </w:t>
      </w:r>
      <w:r w:rsidR="00AC035E">
        <w:rPr>
          <w:rFonts w:ascii="Times New Roman" w:hAnsi="Times New Roman"/>
        </w:rPr>
        <w:t xml:space="preserve">bid </w:t>
      </w:r>
      <w:r>
        <w:rPr>
          <w:rFonts w:ascii="Times New Roman" w:hAnsi="Times New Roman"/>
        </w:rPr>
        <w:t xml:space="preserve">strategies; </w:t>
      </w:r>
    </w:p>
    <w:p w14:paraId="20A627FB" w14:textId="77777777" w:rsidR="004009AD" w:rsidRPr="00BE3484" w:rsidRDefault="004009AD" w:rsidP="00A63D6B">
      <w:pPr>
        <w:pStyle w:val="PargrafodaLista"/>
        <w:numPr>
          <w:ilvl w:val="0"/>
          <w:numId w:val="2"/>
        </w:numPr>
        <w:spacing w:before="120" w:after="120" w:line="360" w:lineRule="auto"/>
        <w:ind w:left="1701" w:hanging="567"/>
        <w:contextualSpacing/>
        <w:jc w:val="both"/>
        <w:rPr>
          <w:rFonts w:ascii="Times New Roman" w:hAnsi="Times New Roman" w:cs="Times New Roman"/>
        </w:rPr>
      </w:pPr>
      <w:r>
        <w:rPr>
          <w:rFonts w:ascii="Times New Roman" w:hAnsi="Times New Roman"/>
        </w:rPr>
        <w:t xml:space="preserve">pricing or price estimation methods; </w:t>
      </w:r>
    </w:p>
    <w:p w14:paraId="21588E05" w14:textId="65F8C3B9" w:rsidR="004009AD" w:rsidRPr="00BE3484" w:rsidRDefault="004009AD" w:rsidP="00A63D6B">
      <w:pPr>
        <w:pStyle w:val="PargrafodaLista"/>
        <w:numPr>
          <w:ilvl w:val="0"/>
          <w:numId w:val="2"/>
        </w:numPr>
        <w:spacing w:before="120" w:after="120" w:line="360" w:lineRule="auto"/>
        <w:ind w:left="1701" w:hanging="567"/>
        <w:contextualSpacing/>
        <w:jc w:val="both"/>
        <w:rPr>
          <w:rFonts w:ascii="Times New Roman" w:hAnsi="Times New Roman" w:cs="Times New Roman"/>
        </w:rPr>
      </w:pPr>
      <w:r>
        <w:rPr>
          <w:rFonts w:ascii="Times New Roman" w:hAnsi="Times New Roman"/>
        </w:rPr>
        <w:t xml:space="preserve">any other aspects relating to </w:t>
      </w:r>
      <w:r w:rsidR="0055449B">
        <w:rPr>
          <w:rFonts w:ascii="Times New Roman" w:hAnsi="Times New Roman"/>
        </w:rPr>
        <w:t>Auctions GO-PT</w:t>
      </w:r>
      <w:r>
        <w:rPr>
          <w:rFonts w:ascii="Times New Roman" w:hAnsi="Times New Roman"/>
        </w:rPr>
        <w:t xml:space="preserve"> that could raise competition concerns. </w:t>
      </w:r>
    </w:p>
    <w:p w14:paraId="5D4D1461" w14:textId="34A0F7A0" w:rsidR="004009AD" w:rsidRPr="00BE3484" w:rsidRDefault="00932830"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The Applicant further and expressly acknowledges that any agreements, acts, practices and information likely to restrict competition are a serious breach of Law No. 19/2012 of 8</w:t>
      </w:r>
      <w:r w:rsidR="00AC035E">
        <w:rPr>
          <w:rFonts w:ascii="Times New Roman" w:hAnsi="Times New Roman"/>
          <w:sz w:val="22"/>
          <w:lang w:val="en-US"/>
        </w:rPr>
        <w:t> </w:t>
      </w:r>
      <w:r>
        <w:rPr>
          <w:rFonts w:ascii="Times New Roman" w:hAnsi="Times New Roman"/>
          <w:sz w:val="22"/>
        </w:rPr>
        <w:t>May</w:t>
      </w:r>
      <w:r w:rsidR="00AC035E">
        <w:rPr>
          <w:rFonts w:ascii="Times New Roman" w:hAnsi="Times New Roman"/>
          <w:sz w:val="22"/>
        </w:rPr>
        <w:t> </w:t>
      </w:r>
      <w:r>
        <w:rPr>
          <w:rFonts w:ascii="Times New Roman" w:hAnsi="Times New Roman"/>
          <w:sz w:val="22"/>
        </w:rPr>
        <w:t xml:space="preserve">2012 and of the Treaty on the Functioning of the European Union. As such, any </w:t>
      </w:r>
      <w:r w:rsidR="00AC035E">
        <w:rPr>
          <w:rFonts w:ascii="Times New Roman" w:hAnsi="Times New Roman"/>
          <w:sz w:val="22"/>
        </w:rPr>
        <w:t>violation</w:t>
      </w:r>
      <w:r>
        <w:rPr>
          <w:rFonts w:ascii="Times New Roman" w:hAnsi="Times New Roman"/>
          <w:sz w:val="22"/>
        </w:rPr>
        <w:t xml:space="preserve"> of such legal systems relating to </w:t>
      </w:r>
      <w:r w:rsidR="0055449B">
        <w:rPr>
          <w:rFonts w:ascii="Times New Roman" w:hAnsi="Times New Roman"/>
          <w:sz w:val="22"/>
        </w:rPr>
        <w:t>Auctions GO-PT</w:t>
      </w:r>
      <w:r>
        <w:rPr>
          <w:rFonts w:ascii="Times New Roman" w:hAnsi="Times New Roman"/>
          <w:sz w:val="22"/>
        </w:rPr>
        <w:t xml:space="preserve"> may be reported to the competent authority, respectively, the Portuguese Competition Authority (AdP) or the European Commission. </w:t>
      </w:r>
    </w:p>
    <w:p w14:paraId="7113C0C6" w14:textId="77777777" w:rsidR="004009AD" w:rsidRPr="00BE3484" w:rsidRDefault="004009AD"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 xml:space="preserve">The Applicant further represents, also on oath, that they do not fall within any of the following: </w:t>
      </w:r>
    </w:p>
    <w:p w14:paraId="1DD76F95" w14:textId="77777777" w:rsidR="004009AD" w:rsidRPr="00BE3484" w:rsidRDefault="004F390F"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been declared insolvent and are being wound-up or have suspended business activities, have entered into an arrangement with creditors or are in any analogous situation, or are the subject of proceedings concerning those matters, except where they are included in or have a judicial or extrajudicial business recovery plan pending, as provided for by law; </w:t>
      </w:r>
    </w:p>
    <w:p w14:paraId="6CE06026" w14:textId="77777777" w:rsidR="004009AD" w:rsidRPr="00BE3484" w:rsidRDefault="004009AD"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 xml:space="preserve">They have been convicted of any offence concerning their professional conduct by a judgement which has the force of </w:t>
      </w:r>
      <w:r>
        <w:rPr>
          <w:rFonts w:ascii="Times New Roman" w:hAnsi="Times New Roman"/>
          <w:i/>
          <w:iCs/>
        </w:rPr>
        <w:t>res judicata</w:t>
      </w:r>
      <w:r>
        <w:rPr>
          <w:rFonts w:ascii="Times New Roman" w:hAnsi="Times New Roman"/>
        </w:rPr>
        <w:t xml:space="preserve">, in the case of a legal person, or, in the case of legal persons, the company or members of its governing or management </w:t>
      </w:r>
      <w:r>
        <w:rPr>
          <w:rFonts w:ascii="Times New Roman" w:hAnsi="Times New Roman"/>
        </w:rPr>
        <w:lastRenderedPageBreak/>
        <w:t>bodies, senior executives or managers have been convicted of such crimes and they are still performing their duties without, in either case, having undergone rehabilitation; </w:t>
      </w:r>
    </w:p>
    <w:p w14:paraId="76D57468" w14:textId="77777777" w:rsidR="004009AD" w:rsidRPr="00BE3484" w:rsidRDefault="00A249C0"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been ordered to pay administrative penalties for grave professional misconduct, if they have not undergone rehabilitation, in the case of a natural person, or, in the case of legal persons, the members of its governing or management bodies, senior executives or managers have been ordered to pay said administrative penalties and they are still performing their duties; </w:t>
      </w:r>
    </w:p>
    <w:p w14:paraId="75DFBB7B" w14:textId="77777777" w:rsidR="004009AD" w:rsidRPr="00BE3484" w:rsidRDefault="00A249C0"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not paid their social security contributions in Portugal or, where applicable, in the State of which they are nationals or in which their principal place of business is established; </w:t>
      </w:r>
    </w:p>
    <w:p w14:paraId="232847B6" w14:textId="77777777" w:rsidR="004009AD" w:rsidRPr="00BE3484" w:rsidRDefault="004009AD"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not paid all taxes owed in Portugal or, where applicable, in the State of which they are nationals or in which their principal place of business is established; </w:t>
      </w:r>
    </w:p>
    <w:p w14:paraId="5B53C57E" w14:textId="77777777" w:rsidR="004009AD" w:rsidRPr="00BE3484" w:rsidRDefault="004009AD"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been the subject of an ancillary penalty prohibiting them from participating in public procurement procedures as provided in special legislation, in particular the regimes for labour, competition, equality and non-discrimination related administrative offences;</w:t>
      </w:r>
    </w:p>
    <w:p w14:paraId="37CC4B57" w14:textId="77777777" w:rsidR="004009AD" w:rsidRPr="00BE3484" w:rsidRDefault="004009AD"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been ordered to pay an administrative or judicial penalty for using labour that is legally subject to the payment of taxes and social security contributions, and which is undeclared pursuant to the rules that require such payment, in Portugal or in the State of which they are nationals or in which their principal place of business is established; </w:t>
      </w:r>
    </w:p>
    <w:p w14:paraId="337316E8" w14:textId="77777777" w:rsidR="004009AD" w:rsidRPr="00BE3484" w:rsidRDefault="004009AD"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 xml:space="preserve">They have been the subject of a judgment which has the force of </w:t>
      </w:r>
      <w:r>
        <w:rPr>
          <w:rFonts w:ascii="Times New Roman" w:hAnsi="Times New Roman"/>
          <w:i/>
          <w:iCs/>
        </w:rPr>
        <w:t>res judicata</w:t>
      </w:r>
      <w:r>
        <w:rPr>
          <w:rFonts w:ascii="Times New Roman" w:hAnsi="Times New Roman"/>
        </w:rPr>
        <w:t xml:space="preserve"> for any of the following crimes, if they have not undergone rehabilitation, in the case of a natural person, or in the case of legal persons, the company or the members of its governing or management bodies, senior executives or managers have been convicted of such crimes and are still performing their duties, if they have not undergone rehabilitation: </w:t>
      </w:r>
    </w:p>
    <w:p w14:paraId="61429500"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involvement in a criminal organisation, as defined under Article 2(1) of Council Framework Decision 2008/841/JHA of 24 October 2008; </w:t>
      </w:r>
    </w:p>
    <w:p w14:paraId="525B0F38"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 xml:space="preserve">corruption, as defined under Article 3 of the Convention on the fight against corruption involving officials of the European Union or of the EU Member States, under Article 2(1) of Council Framework Decision 2003/568/JHA of </w:t>
      </w:r>
      <w:r>
        <w:rPr>
          <w:rFonts w:ascii="Times New Roman" w:hAnsi="Times New Roman"/>
        </w:rPr>
        <w:lastRenderedPageBreak/>
        <w:t>22 July 2003, and under Article</w:t>
      </w:r>
      <w:r w:rsidR="00AC035E">
        <w:rPr>
          <w:rFonts w:ascii="Times New Roman" w:hAnsi="Times New Roman"/>
        </w:rPr>
        <w:t>s</w:t>
      </w:r>
      <w:r>
        <w:rPr>
          <w:rFonts w:ascii="Times New Roman" w:hAnsi="Times New Roman"/>
        </w:rPr>
        <w:t xml:space="preserve"> 372 to 374</w:t>
      </w:r>
      <w:r w:rsidR="00AC035E">
        <w:rPr>
          <w:rFonts w:ascii="Times New Roman" w:hAnsi="Times New Roman"/>
        </w:rPr>
        <w:t>-B</w:t>
      </w:r>
      <w:r>
        <w:rPr>
          <w:rFonts w:ascii="Times New Roman" w:hAnsi="Times New Roman"/>
        </w:rPr>
        <w:t xml:space="preserve"> of the Portuguese Criminal Code; </w:t>
      </w:r>
    </w:p>
    <w:p w14:paraId="0A63B89B"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fraud, within the meaning of Article 1 of the Convention on the protection of the European Communities' financial interests; </w:t>
      </w:r>
    </w:p>
    <w:p w14:paraId="2EADBCF2"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money laundering or terrorist financing, as defined under Article 1 of Directive (EU) 2015/849 of the European Parliament and of the Council of 20</w:t>
      </w:r>
      <w:r w:rsidR="00AC035E">
        <w:rPr>
          <w:rFonts w:ascii="Times New Roman" w:hAnsi="Times New Roman"/>
        </w:rPr>
        <w:t> </w:t>
      </w:r>
      <w:r>
        <w:rPr>
          <w:rFonts w:ascii="Times New Roman" w:hAnsi="Times New Roman"/>
        </w:rPr>
        <w:t>May</w:t>
      </w:r>
      <w:r w:rsidR="00AC035E">
        <w:rPr>
          <w:rFonts w:ascii="Times New Roman" w:hAnsi="Times New Roman"/>
        </w:rPr>
        <w:t> </w:t>
      </w:r>
      <w:r>
        <w:rPr>
          <w:rFonts w:ascii="Times New Roman" w:hAnsi="Times New Roman"/>
        </w:rPr>
        <w:t>2015 on the prevention of the use of the financial system for the purposes of money laundering or terrorist financing; </w:t>
      </w:r>
    </w:p>
    <w:p w14:paraId="5A3650F3"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terrorist offences or offences related to a terrorist group, as defined under Articles 3 and 4 of Directive (EU) 2017/541 of the European Parliament and of the Council of 15 March 2017 on combating terrorism, or any other offences related to terrorist activities, including aiding and abetting, inciting and attempting, as per Article 14 of the aforementioned directive; </w:t>
      </w:r>
    </w:p>
    <w:p w14:paraId="70CC6D97"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child labour and other forms of human trafficking, as defined under Article 2 of Directive 2011/36/EU of the European Parliament and of the Council of 5</w:t>
      </w:r>
      <w:r w:rsidR="00AC035E">
        <w:rPr>
          <w:rFonts w:ascii="Times New Roman" w:hAnsi="Times New Roman"/>
        </w:rPr>
        <w:t> </w:t>
      </w:r>
      <w:r>
        <w:rPr>
          <w:rFonts w:ascii="Times New Roman" w:hAnsi="Times New Roman"/>
        </w:rPr>
        <w:t>April</w:t>
      </w:r>
      <w:r w:rsidR="00AC035E">
        <w:rPr>
          <w:rFonts w:ascii="Times New Roman" w:hAnsi="Times New Roman"/>
        </w:rPr>
        <w:t> </w:t>
      </w:r>
      <w:r>
        <w:rPr>
          <w:rFonts w:ascii="Times New Roman" w:hAnsi="Times New Roman"/>
        </w:rPr>
        <w:t>2011;</w:t>
      </w:r>
    </w:p>
    <w:p w14:paraId="6D952899" w14:textId="60AA0B03" w:rsidR="004009AD" w:rsidRPr="00BE3484" w:rsidRDefault="004009AD" w:rsidP="004F390F">
      <w:pPr>
        <w:numPr>
          <w:ilvl w:val="0"/>
          <w:numId w:val="3"/>
        </w:numPr>
        <w:spacing w:before="120" w:after="120" w:line="360" w:lineRule="auto"/>
        <w:ind w:left="567" w:hanging="567"/>
        <w:jc w:val="both"/>
        <w:rPr>
          <w:rFonts w:ascii="Times New Roman" w:hAnsi="Times New Roman" w:cs="Times New Roman"/>
        </w:rPr>
      </w:pPr>
      <w:r>
        <w:rPr>
          <w:rFonts w:ascii="Times New Roman" w:hAnsi="Times New Roman"/>
        </w:rPr>
        <w:t xml:space="preserve">They have, for whatever reason, directly or indirectly provided advice or technical assistance in the preparation and drawing up of the </w:t>
      </w:r>
      <w:r w:rsidR="0055449B">
        <w:rPr>
          <w:rFonts w:ascii="Times New Roman" w:hAnsi="Times New Roman"/>
        </w:rPr>
        <w:t>Auctions GO-PT</w:t>
      </w:r>
      <w:r>
        <w:rPr>
          <w:rFonts w:ascii="Times New Roman" w:hAnsi="Times New Roman"/>
        </w:rPr>
        <w:t xml:space="preserve"> </w:t>
      </w:r>
      <w:r w:rsidR="00AC035E">
        <w:rPr>
          <w:rFonts w:ascii="Times New Roman" w:hAnsi="Times New Roman"/>
        </w:rPr>
        <w:t xml:space="preserve">rules </w:t>
      </w:r>
      <w:r>
        <w:rPr>
          <w:rFonts w:ascii="Times New Roman" w:hAnsi="Times New Roman"/>
        </w:rPr>
        <w:t>and other related documents, giving them an advantage that distorts competition;</w:t>
      </w:r>
    </w:p>
    <w:p w14:paraId="0E436168" w14:textId="5305DD5F" w:rsidR="004009AD" w:rsidRPr="00BE3484" w:rsidRDefault="004009AD" w:rsidP="004F390F">
      <w:pPr>
        <w:numPr>
          <w:ilvl w:val="0"/>
          <w:numId w:val="3"/>
        </w:numPr>
        <w:spacing w:before="120" w:after="120" w:line="360" w:lineRule="auto"/>
        <w:ind w:left="567" w:hanging="567"/>
        <w:jc w:val="both"/>
        <w:rPr>
          <w:rFonts w:ascii="Times New Roman" w:hAnsi="Times New Roman" w:cs="Times New Roman"/>
        </w:rPr>
      </w:pPr>
      <w:r>
        <w:rPr>
          <w:rFonts w:ascii="Times New Roman" w:hAnsi="Times New Roman"/>
        </w:rPr>
        <w:t xml:space="preserve">They have taken steps to influence decisions likely to give them undue advantage in </w:t>
      </w:r>
      <w:r w:rsidR="0055449B">
        <w:rPr>
          <w:rFonts w:ascii="Times New Roman" w:hAnsi="Times New Roman"/>
        </w:rPr>
        <w:t>Auctions GO-PT</w:t>
      </w:r>
      <w:r>
        <w:rPr>
          <w:rFonts w:ascii="Times New Roman" w:hAnsi="Times New Roman"/>
        </w:rPr>
        <w:t xml:space="preserve"> or have provided misleading information likely to have a material effect on the decision to admit them as a participa</w:t>
      </w:r>
      <w:r w:rsidR="00AC035E">
        <w:rPr>
          <w:rFonts w:ascii="Times New Roman" w:hAnsi="Times New Roman"/>
        </w:rPr>
        <w:t>nt</w:t>
      </w:r>
      <w:r>
        <w:rPr>
          <w:rFonts w:ascii="Times New Roman" w:hAnsi="Times New Roman"/>
        </w:rPr>
        <w:t xml:space="preserve"> in </w:t>
      </w:r>
      <w:r w:rsidR="0055449B">
        <w:rPr>
          <w:rFonts w:ascii="Times New Roman" w:hAnsi="Times New Roman"/>
        </w:rPr>
        <w:t xml:space="preserve">the Auctions </w:t>
      </w:r>
      <w:r>
        <w:rPr>
          <w:rFonts w:ascii="Times New Roman" w:hAnsi="Times New Roman"/>
        </w:rPr>
        <w:t>GO-</w:t>
      </w:r>
      <w:r w:rsidR="0055449B">
        <w:rPr>
          <w:rFonts w:ascii="Times New Roman" w:hAnsi="Times New Roman"/>
        </w:rPr>
        <w:t>PT</w:t>
      </w:r>
      <w:r>
        <w:rPr>
          <w:rFonts w:ascii="Times New Roman" w:hAnsi="Times New Roman"/>
        </w:rPr>
        <w:t>;</w:t>
      </w:r>
    </w:p>
    <w:p w14:paraId="49FC94F1" w14:textId="6B9D5C43" w:rsidR="004009AD" w:rsidRPr="00BE3484" w:rsidRDefault="004009AD" w:rsidP="00CC0AE2">
      <w:pPr>
        <w:numPr>
          <w:ilvl w:val="0"/>
          <w:numId w:val="3"/>
        </w:numPr>
        <w:spacing w:before="120" w:after="120" w:line="360" w:lineRule="auto"/>
        <w:ind w:left="567" w:hanging="567"/>
        <w:jc w:val="both"/>
        <w:rPr>
          <w:rFonts w:ascii="Times New Roman" w:hAnsi="Times New Roman" w:cs="Times New Roman"/>
        </w:rPr>
      </w:pPr>
      <w:r>
        <w:rPr>
          <w:rFonts w:ascii="Times New Roman" w:hAnsi="Times New Roman"/>
        </w:rPr>
        <w:t xml:space="preserve">They have conflicts of interest that cannot be effectively corrected by other less stringent measures, that is, other than rejecting this application or the suspension or cancellation of their participation in </w:t>
      </w:r>
      <w:r w:rsidR="0055449B">
        <w:rPr>
          <w:rFonts w:ascii="Times New Roman" w:hAnsi="Times New Roman"/>
        </w:rPr>
        <w:t>Auctions GO-PT</w:t>
      </w:r>
      <w:r>
        <w:rPr>
          <w:rFonts w:ascii="Times New Roman" w:hAnsi="Times New Roman"/>
        </w:rPr>
        <w:t>.</w:t>
      </w:r>
    </w:p>
    <w:p w14:paraId="79EACA4C" w14:textId="77777777" w:rsidR="004009AD" w:rsidRPr="00BE3484" w:rsidRDefault="004009AD" w:rsidP="004F390F">
      <w:pPr>
        <w:spacing w:before="120" w:after="120" w:line="360" w:lineRule="auto"/>
        <w:ind w:firstLine="720"/>
        <w:rPr>
          <w:rFonts w:ascii="Times New Roman" w:hAnsi="Times New Roman" w:cs="Times New Roman"/>
        </w:rPr>
      </w:pPr>
    </w:p>
    <w:p w14:paraId="3F5FC344" w14:textId="77777777" w:rsidR="004009AD" w:rsidRPr="00BE3484" w:rsidRDefault="00E20A84"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The Applicant is fully aware that making false statements implies rejection of the application for admission submitted.</w:t>
      </w:r>
    </w:p>
    <w:p w14:paraId="57D2D2B5" w14:textId="77777777" w:rsidR="004009AD" w:rsidRPr="00BE3484" w:rsidRDefault="004009AD" w:rsidP="008809FE">
      <w:pPr>
        <w:spacing w:before="120" w:after="120" w:line="360" w:lineRule="auto"/>
        <w:contextualSpacing/>
        <w:jc w:val="both"/>
        <w:rPr>
          <w:rFonts w:ascii="Times New Roman" w:hAnsi="Times New Roman" w:cs="Times New Roman"/>
        </w:rPr>
      </w:pPr>
    </w:p>
    <w:p w14:paraId="4DEA3CC6" w14:textId="0B8BDD82" w:rsidR="00E20A84" w:rsidRPr="00BE3484" w:rsidRDefault="00E20A84"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 xml:space="preserve">The Applicant further undertakes to follow and comply with all the rules, notices and instructions issued by the entities involved in the organisation and functioning of the </w:t>
      </w:r>
      <w:r w:rsidR="0055449B">
        <w:rPr>
          <w:rFonts w:ascii="Times New Roman" w:hAnsi="Times New Roman"/>
          <w:sz w:val="22"/>
        </w:rPr>
        <w:t>Auctions GO-PT</w:t>
      </w:r>
      <w:r>
        <w:rPr>
          <w:rFonts w:ascii="Times New Roman" w:hAnsi="Times New Roman"/>
          <w:sz w:val="22"/>
        </w:rPr>
        <w:t xml:space="preserve"> and represents that they have human resources with the necessary skills </w:t>
      </w:r>
      <w:r>
        <w:rPr>
          <w:rFonts w:ascii="Times New Roman" w:hAnsi="Times New Roman"/>
          <w:sz w:val="22"/>
        </w:rPr>
        <w:lastRenderedPageBreak/>
        <w:t xml:space="preserve">and experience to establish and manage the procedures to be followed and the internal control mechanisms appropriate for the </w:t>
      </w:r>
      <w:r w:rsidR="0055449B">
        <w:rPr>
          <w:rFonts w:ascii="Times New Roman" w:hAnsi="Times New Roman"/>
          <w:sz w:val="22"/>
        </w:rPr>
        <w:t>Auctions GO-PT</w:t>
      </w:r>
      <w:r>
        <w:rPr>
          <w:rFonts w:ascii="Times New Roman" w:hAnsi="Times New Roman"/>
          <w:sz w:val="22"/>
        </w:rPr>
        <w:t>.</w:t>
      </w:r>
    </w:p>
    <w:p w14:paraId="2E2A5BA9" w14:textId="77777777" w:rsidR="00BE3484" w:rsidRPr="00BE3484" w:rsidRDefault="00BE3484" w:rsidP="008809FE">
      <w:pPr>
        <w:spacing w:before="120" w:after="120" w:line="360" w:lineRule="auto"/>
        <w:contextualSpacing/>
        <w:jc w:val="both"/>
        <w:rPr>
          <w:rFonts w:ascii="Times New Roman" w:hAnsi="Times New Roman" w:cs="Times New Roman"/>
        </w:rPr>
      </w:pPr>
    </w:p>
    <w:p w14:paraId="2A0B332B" w14:textId="77777777" w:rsidR="00BE3484" w:rsidRPr="00BE3484" w:rsidRDefault="00BE3484"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The Applicant further undertakes to immediately notify OMIP of any changes in the situations stated on oat</w:t>
      </w:r>
      <w:r w:rsidR="00AC035E">
        <w:rPr>
          <w:rFonts w:ascii="Times New Roman" w:hAnsi="Times New Roman"/>
          <w:sz w:val="22"/>
        </w:rPr>
        <w:t>h</w:t>
      </w:r>
      <w:r>
        <w:rPr>
          <w:rFonts w:ascii="Times New Roman" w:hAnsi="Times New Roman"/>
          <w:sz w:val="22"/>
        </w:rPr>
        <w:t xml:space="preserve"> herein or any information provided in this application for admission.</w:t>
      </w:r>
    </w:p>
    <w:p w14:paraId="0AB6CB1F" w14:textId="77777777" w:rsidR="00B74D56" w:rsidRPr="00BE3484" w:rsidRDefault="00B74D56" w:rsidP="008809FE">
      <w:pPr>
        <w:spacing w:before="120" w:after="120" w:line="360" w:lineRule="auto"/>
        <w:contextualSpacing/>
        <w:jc w:val="both"/>
        <w:rPr>
          <w:rFonts w:ascii="Times New Roman" w:hAnsi="Times New Roman" w:cs="Times New Roman"/>
        </w:rPr>
      </w:pPr>
    </w:p>
    <w:p w14:paraId="219B1737" w14:textId="73AB9A4A" w:rsidR="00416DF9" w:rsidRPr="00BE3484" w:rsidRDefault="00416DF9"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 xml:space="preserve">Finally, the Applicant attaches (i) the operational information required for the management of financial guarantees, financial settlement, billing and physical settlement, and (ii) the declaration of consent for the recording of telephone calls and the transmission of information between all entities involved in the </w:t>
      </w:r>
      <w:r w:rsidR="0055449B">
        <w:rPr>
          <w:rFonts w:ascii="Times New Roman" w:hAnsi="Times New Roman"/>
          <w:sz w:val="22"/>
        </w:rPr>
        <w:t>Auctions GO-PT</w:t>
      </w:r>
      <w:r>
        <w:rPr>
          <w:rFonts w:ascii="Times New Roman" w:hAnsi="Times New Roman"/>
          <w:sz w:val="22"/>
        </w:rPr>
        <w:t xml:space="preserve"> procedure.  </w:t>
      </w:r>
    </w:p>
    <w:p w14:paraId="55D6603C" w14:textId="77777777" w:rsidR="00D360FE" w:rsidRPr="00BE3484" w:rsidRDefault="00D360FE" w:rsidP="008809FE">
      <w:pPr>
        <w:spacing w:before="120" w:after="120" w:line="360" w:lineRule="auto"/>
        <w:contextualSpacing/>
        <w:jc w:val="both"/>
        <w:rPr>
          <w:rFonts w:ascii="Times New Roman" w:hAnsi="Times New Roman" w:cs="Times New Roman"/>
        </w:rPr>
      </w:pPr>
    </w:p>
    <w:p w14:paraId="1C36D409" w14:textId="77777777" w:rsidR="004009AD" w:rsidRPr="00BE3484" w:rsidRDefault="00B74D56" w:rsidP="008809FE">
      <w:pPr>
        <w:pStyle w:val="PargrafodaLista"/>
        <w:spacing w:before="120" w:after="120"/>
        <w:ind w:left="0"/>
        <w:jc w:val="center"/>
        <w:rPr>
          <w:rFonts w:ascii="Times New Roman" w:hAnsi="Times New Roman" w:cs="Times New Roman"/>
        </w:rPr>
      </w:pPr>
      <w:r>
        <w:rPr>
          <w:rFonts w:ascii="Times New Roman" w:hAnsi="Times New Roman"/>
        </w:rPr>
        <w:t>___________________________</w:t>
      </w:r>
    </w:p>
    <w:p w14:paraId="7E7128DE" w14:textId="77777777" w:rsidR="004009AD" w:rsidRPr="00BE3484" w:rsidRDefault="004009AD" w:rsidP="008809FE">
      <w:pPr>
        <w:pStyle w:val="Minuta-Texto"/>
        <w:spacing w:before="120"/>
        <w:rPr>
          <w:rFonts w:ascii="Times New Roman" w:hAnsi="Times New Roman"/>
          <w:sz w:val="22"/>
          <w:szCs w:val="22"/>
        </w:rPr>
      </w:pPr>
    </w:p>
    <w:p w14:paraId="5639D76A" w14:textId="77777777" w:rsidR="00B35719" w:rsidRPr="00BE3484" w:rsidRDefault="00B74D56" w:rsidP="008809FE">
      <w:pPr>
        <w:spacing w:before="120" w:after="120"/>
        <w:jc w:val="center"/>
        <w:rPr>
          <w:rFonts w:ascii="Times New Roman" w:hAnsi="Times New Roman" w:cs="Times New Roman"/>
          <w:i/>
        </w:rPr>
      </w:pPr>
      <w:r>
        <w:rPr>
          <w:rFonts w:ascii="Times New Roman" w:hAnsi="Times New Roman"/>
          <w:i/>
        </w:rPr>
        <w:t>[</w:t>
      </w:r>
      <w:r>
        <w:rPr>
          <w:rFonts w:ascii="Times New Roman" w:hAnsi="Times New Roman"/>
          <w:i/>
          <w:highlight w:val="yellow"/>
        </w:rPr>
        <w:t>Date and signature of the signatories</w:t>
      </w:r>
      <w:r>
        <w:rPr>
          <w:rFonts w:ascii="Times New Roman" w:hAnsi="Times New Roman"/>
          <w:i/>
        </w:rPr>
        <w:t>]</w:t>
      </w:r>
    </w:p>
    <w:p w14:paraId="0409E6A3" w14:textId="77777777" w:rsidR="00364ABB" w:rsidRPr="00BE3484" w:rsidRDefault="00364ABB" w:rsidP="008809FE">
      <w:pPr>
        <w:spacing w:before="120" w:after="120"/>
        <w:jc w:val="center"/>
        <w:rPr>
          <w:rFonts w:ascii="Times New Roman" w:hAnsi="Times New Roman" w:cs="Times New Roman"/>
          <w:i/>
        </w:rPr>
      </w:pPr>
    </w:p>
    <w:p w14:paraId="0AE1A8A0" w14:textId="77777777" w:rsidR="00424AEF" w:rsidRPr="00BE3484" w:rsidRDefault="00424AEF" w:rsidP="008809FE">
      <w:pPr>
        <w:spacing w:before="120" w:after="120"/>
        <w:rPr>
          <w:rFonts w:ascii="Times New Roman" w:hAnsi="Times New Roman" w:cs="Times New Roman"/>
        </w:rPr>
      </w:pPr>
      <w:r>
        <w:br w:type="page"/>
      </w:r>
    </w:p>
    <w:p w14:paraId="0E0EB874" w14:textId="77777777" w:rsidR="00364ABB" w:rsidRPr="00BE3484" w:rsidRDefault="00424AEF" w:rsidP="008809FE">
      <w:pPr>
        <w:spacing w:before="120" w:after="120"/>
        <w:jc w:val="center"/>
        <w:rPr>
          <w:rFonts w:ascii="Times New Roman" w:hAnsi="Times New Roman" w:cs="Times New Roman"/>
        </w:rPr>
      </w:pPr>
      <w:r>
        <w:rPr>
          <w:rFonts w:ascii="Times New Roman" w:hAnsi="Times New Roman"/>
          <w:b/>
          <w:bCs/>
        </w:rPr>
        <w:lastRenderedPageBreak/>
        <w:t>ANNEX I</w:t>
      </w:r>
    </w:p>
    <w:p w14:paraId="65C6E1B3" w14:textId="77777777" w:rsidR="00424AEF" w:rsidRPr="00BE3484" w:rsidRDefault="00C17AEA" w:rsidP="008809FE">
      <w:pPr>
        <w:spacing w:before="120" w:after="120"/>
        <w:jc w:val="center"/>
        <w:rPr>
          <w:rFonts w:ascii="Times New Roman" w:hAnsi="Times New Roman" w:cs="Times New Roman"/>
          <w:i/>
        </w:rPr>
      </w:pPr>
      <w:r>
        <w:rPr>
          <w:rFonts w:ascii="Times New Roman" w:hAnsi="Times New Roman"/>
          <w:i/>
        </w:rPr>
        <w:t xml:space="preserve">[Articles of association or </w:t>
      </w:r>
      <w:r w:rsidR="00424AEF">
        <w:rPr>
          <w:rFonts w:ascii="Times New Roman" w:hAnsi="Times New Roman"/>
          <w:i/>
        </w:rPr>
        <w:t>permanent business registration certificate]</w:t>
      </w:r>
    </w:p>
    <w:p w14:paraId="19CD8CA3" w14:textId="77777777" w:rsidR="00424AEF" w:rsidRPr="00BE3484" w:rsidRDefault="00424AEF" w:rsidP="008809FE">
      <w:pPr>
        <w:spacing w:before="120" w:after="120"/>
        <w:jc w:val="center"/>
        <w:rPr>
          <w:rFonts w:ascii="Times New Roman" w:hAnsi="Times New Roman" w:cs="Times New Roman"/>
        </w:rPr>
      </w:pPr>
    </w:p>
    <w:p w14:paraId="7D98FF4F" w14:textId="77777777" w:rsidR="00424AEF" w:rsidRPr="00BE3484" w:rsidRDefault="00424AEF" w:rsidP="008809FE">
      <w:pPr>
        <w:spacing w:before="120" w:after="120"/>
        <w:rPr>
          <w:rFonts w:ascii="Times New Roman" w:hAnsi="Times New Roman" w:cs="Times New Roman"/>
        </w:rPr>
      </w:pPr>
      <w:r>
        <w:br w:type="page"/>
      </w:r>
    </w:p>
    <w:p w14:paraId="71877F72" w14:textId="77777777" w:rsidR="00424AEF" w:rsidRPr="00BE3484" w:rsidRDefault="00424AEF" w:rsidP="008809FE">
      <w:pPr>
        <w:spacing w:before="120" w:after="120"/>
        <w:jc w:val="center"/>
        <w:rPr>
          <w:rFonts w:ascii="Times New Roman" w:hAnsi="Times New Roman" w:cs="Times New Roman"/>
        </w:rPr>
      </w:pPr>
      <w:r>
        <w:rPr>
          <w:rFonts w:ascii="Times New Roman" w:hAnsi="Times New Roman"/>
          <w:b/>
          <w:bCs/>
        </w:rPr>
        <w:lastRenderedPageBreak/>
        <w:t>ANNEX II</w:t>
      </w:r>
    </w:p>
    <w:p w14:paraId="76311B17" w14:textId="77777777" w:rsidR="00CA400C" w:rsidRDefault="009A3E97" w:rsidP="00CA400C">
      <w:pPr>
        <w:spacing w:before="120" w:after="120"/>
        <w:jc w:val="center"/>
        <w:rPr>
          <w:rFonts w:ascii="Times New Roman" w:hAnsi="Times New Roman" w:cs="Times New Roman"/>
          <w:i/>
        </w:rPr>
      </w:pPr>
      <w:r>
        <w:rPr>
          <w:rFonts w:ascii="Times New Roman" w:hAnsi="Times New Roman"/>
          <w:i/>
        </w:rPr>
        <w:t>[Operational information required for the management of financial guarantees, financial settlement, billing and physical settlement]</w:t>
      </w:r>
    </w:p>
    <w:p w14:paraId="54E94A19" w14:textId="77777777" w:rsidR="00CA400C" w:rsidRDefault="00CA400C" w:rsidP="00CA400C">
      <w:pPr>
        <w:spacing w:before="120" w:after="120"/>
        <w:jc w:val="center"/>
        <w:rPr>
          <w:rFonts w:ascii="Times New Roman" w:hAnsi="Times New Roman" w:cs="Times New Roman"/>
          <w:i/>
        </w:rPr>
      </w:pPr>
    </w:p>
    <w:p w14:paraId="14CC8DF5" w14:textId="77777777" w:rsidR="00CA400C" w:rsidRDefault="00CA400C" w:rsidP="00CA400C">
      <w:pPr>
        <w:spacing w:before="120" w:after="120"/>
        <w:jc w:val="center"/>
        <w:rPr>
          <w:rFonts w:ascii="Times New Roman" w:hAnsi="Times New Roman" w:cs="Times New Roman"/>
          <w:i/>
        </w:rPr>
      </w:pPr>
    </w:p>
    <w:p w14:paraId="066EA090" w14:textId="77777777" w:rsidR="00CA400C" w:rsidRDefault="00CA400C" w:rsidP="00CA400C">
      <w:pPr>
        <w:spacing w:before="120" w:after="120"/>
        <w:jc w:val="center"/>
        <w:rPr>
          <w:rFonts w:ascii="Times New Roman" w:hAnsi="Times New Roman" w:cs="Times New Roman"/>
          <w:i/>
        </w:rPr>
      </w:pPr>
    </w:p>
    <w:p w14:paraId="5D125C66" w14:textId="77777777" w:rsidR="00CA400C" w:rsidRPr="009A185D" w:rsidRDefault="00CA400C" w:rsidP="00CA400C">
      <w:pPr>
        <w:pStyle w:val="Textodecomentrio"/>
        <w:ind w:left="720"/>
        <w:jc w:val="both"/>
        <w:rPr>
          <w:sz w:val="24"/>
          <w:szCs w:val="24"/>
        </w:rPr>
      </w:pPr>
      <w:r>
        <w:rPr>
          <w:sz w:val="24"/>
        </w:rPr>
        <w:t xml:space="preserve">Name </w:t>
      </w:r>
      <w:r>
        <w:rPr>
          <w:rFonts w:ascii="Times New Roman" w:hAnsi="Times New Roman"/>
          <w:sz w:val="24"/>
          <w:highlight w:val="yellow"/>
        </w:rPr>
        <w:t>[•]</w:t>
      </w:r>
    </w:p>
    <w:p w14:paraId="246F95B7" w14:textId="77777777" w:rsidR="00CA400C" w:rsidRPr="009A185D" w:rsidRDefault="00CA400C" w:rsidP="00CA400C">
      <w:pPr>
        <w:pStyle w:val="Textodecomentrio"/>
        <w:ind w:left="720"/>
        <w:jc w:val="both"/>
        <w:rPr>
          <w:sz w:val="24"/>
          <w:szCs w:val="24"/>
        </w:rPr>
      </w:pPr>
      <w:r>
        <w:rPr>
          <w:sz w:val="24"/>
        </w:rPr>
        <w:t xml:space="preserve">Address </w:t>
      </w:r>
      <w:r>
        <w:rPr>
          <w:rFonts w:ascii="Times New Roman" w:hAnsi="Times New Roman"/>
          <w:sz w:val="24"/>
          <w:highlight w:val="yellow"/>
        </w:rPr>
        <w:t>[•]</w:t>
      </w:r>
    </w:p>
    <w:p w14:paraId="67CF4D18" w14:textId="77777777" w:rsidR="00CA400C" w:rsidRPr="009A185D" w:rsidRDefault="00CA400C" w:rsidP="00CA400C">
      <w:pPr>
        <w:pStyle w:val="Textodecomentrio"/>
        <w:ind w:firstLine="708"/>
        <w:jc w:val="both"/>
        <w:rPr>
          <w:sz w:val="24"/>
          <w:szCs w:val="24"/>
        </w:rPr>
      </w:pPr>
      <w:r>
        <w:rPr>
          <w:sz w:val="24"/>
        </w:rPr>
        <w:t xml:space="preserve">Country </w:t>
      </w:r>
      <w:r>
        <w:rPr>
          <w:rFonts w:ascii="Times New Roman" w:hAnsi="Times New Roman"/>
          <w:sz w:val="24"/>
          <w:highlight w:val="yellow"/>
        </w:rPr>
        <w:t>[•]</w:t>
      </w:r>
    </w:p>
    <w:p w14:paraId="16CD73BA" w14:textId="77777777" w:rsidR="00CA400C" w:rsidRPr="009A185D" w:rsidRDefault="00CA400C" w:rsidP="00CA400C">
      <w:pPr>
        <w:pStyle w:val="Textodecomentrio"/>
        <w:ind w:firstLine="708"/>
        <w:jc w:val="both"/>
        <w:rPr>
          <w:sz w:val="24"/>
          <w:szCs w:val="24"/>
        </w:rPr>
      </w:pPr>
      <w:r>
        <w:rPr>
          <w:sz w:val="24"/>
        </w:rPr>
        <w:t xml:space="preserve">VAT number </w:t>
      </w:r>
      <w:r>
        <w:rPr>
          <w:rFonts w:ascii="Times New Roman" w:hAnsi="Times New Roman"/>
          <w:sz w:val="24"/>
          <w:highlight w:val="yellow"/>
        </w:rPr>
        <w:t>[•]</w:t>
      </w:r>
    </w:p>
    <w:p w14:paraId="62DD7086" w14:textId="77777777" w:rsidR="00CA400C" w:rsidRPr="009A185D" w:rsidRDefault="00CA400C" w:rsidP="00CA400C">
      <w:pPr>
        <w:pStyle w:val="Textodecomentrio"/>
        <w:ind w:firstLine="708"/>
        <w:jc w:val="both"/>
        <w:rPr>
          <w:sz w:val="24"/>
          <w:szCs w:val="24"/>
        </w:rPr>
      </w:pPr>
      <w:r>
        <w:rPr>
          <w:sz w:val="24"/>
        </w:rPr>
        <w:t xml:space="preserve">E-mail </w:t>
      </w:r>
      <w:r>
        <w:rPr>
          <w:rFonts w:ascii="Times New Roman" w:hAnsi="Times New Roman"/>
          <w:sz w:val="24"/>
          <w:highlight w:val="yellow"/>
        </w:rPr>
        <w:t>[•]</w:t>
      </w:r>
    </w:p>
    <w:p w14:paraId="6432A93B" w14:textId="77777777" w:rsidR="00CA400C" w:rsidRPr="009A185D" w:rsidRDefault="00CA400C" w:rsidP="00CA400C">
      <w:pPr>
        <w:pStyle w:val="Textodecomentrio"/>
        <w:ind w:firstLine="708"/>
        <w:jc w:val="both"/>
        <w:rPr>
          <w:sz w:val="24"/>
          <w:szCs w:val="24"/>
        </w:rPr>
      </w:pPr>
      <w:r>
        <w:rPr>
          <w:sz w:val="24"/>
        </w:rPr>
        <w:t xml:space="preserve">IBAN </w:t>
      </w:r>
      <w:r>
        <w:rPr>
          <w:rFonts w:ascii="Times New Roman" w:hAnsi="Times New Roman"/>
          <w:sz w:val="24"/>
          <w:highlight w:val="yellow"/>
        </w:rPr>
        <w:t>[•]</w:t>
      </w:r>
    </w:p>
    <w:p w14:paraId="06933380" w14:textId="77777777" w:rsidR="00CA400C" w:rsidRDefault="00CA400C" w:rsidP="00CA400C">
      <w:pPr>
        <w:spacing w:before="120" w:after="120"/>
        <w:jc w:val="center"/>
        <w:rPr>
          <w:rFonts w:ascii="Times New Roman" w:hAnsi="Times New Roman" w:cs="Times New Roman"/>
          <w:i/>
        </w:rPr>
      </w:pPr>
    </w:p>
    <w:p w14:paraId="582B5AAA" w14:textId="77777777" w:rsidR="00CA400C" w:rsidRDefault="00CA400C" w:rsidP="00CA400C">
      <w:pPr>
        <w:spacing w:before="120" w:after="120"/>
        <w:jc w:val="center"/>
        <w:rPr>
          <w:rFonts w:ascii="Times New Roman" w:hAnsi="Times New Roman" w:cs="Times New Roman"/>
          <w:i/>
        </w:rPr>
      </w:pPr>
    </w:p>
    <w:p w14:paraId="12420932" w14:textId="77777777" w:rsidR="00CA400C" w:rsidRDefault="00CA400C" w:rsidP="00CA400C">
      <w:pPr>
        <w:spacing w:before="120" w:after="120"/>
        <w:jc w:val="center"/>
        <w:rPr>
          <w:rFonts w:ascii="Times New Roman" w:hAnsi="Times New Roman" w:cs="Times New Roman"/>
          <w:i/>
        </w:rPr>
      </w:pPr>
    </w:p>
    <w:p w14:paraId="0A678A0D" w14:textId="77777777" w:rsidR="00CA400C" w:rsidRDefault="00CA400C" w:rsidP="00CA400C">
      <w:pPr>
        <w:spacing w:before="120" w:after="120"/>
        <w:jc w:val="center"/>
        <w:rPr>
          <w:rFonts w:ascii="Times New Roman" w:hAnsi="Times New Roman" w:cs="Times New Roman"/>
          <w:i/>
        </w:rPr>
      </w:pPr>
    </w:p>
    <w:p w14:paraId="4127C1C1" w14:textId="77777777" w:rsidR="00CA400C" w:rsidRDefault="00CA400C" w:rsidP="00CA400C">
      <w:pPr>
        <w:spacing w:before="120" w:after="120"/>
        <w:jc w:val="center"/>
        <w:rPr>
          <w:rFonts w:ascii="Times New Roman" w:hAnsi="Times New Roman" w:cs="Times New Roman"/>
          <w:i/>
        </w:rPr>
      </w:pPr>
    </w:p>
    <w:p w14:paraId="2D40E953" w14:textId="77777777" w:rsidR="00CA400C" w:rsidRDefault="00CA400C" w:rsidP="00CA400C">
      <w:pPr>
        <w:spacing w:before="120" w:after="120"/>
        <w:jc w:val="center"/>
        <w:rPr>
          <w:rFonts w:ascii="Times New Roman" w:hAnsi="Times New Roman" w:cs="Times New Roman"/>
          <w:i/>
        </w:rPr>
      </w:pPr>
    </w:p>
    <w:p w14:paraId="2E43D152" w14:textId="77777777" w:rsidR="00CA400C" w:rsidRDefault="00CA400C" w:rsidP="00CA400C">
      <w:pPr>
        <w:spacing w:before="120" w:after="120"/>
        <w:jc w:val="center"/>
        <w:rPr>
          <w:rFonts w:ascii="Times New Roman" w:hAnsi="Times New Roman" w:cs="Times New Roman"/>
          <w:i/>
        </w:rPr>
      </w:pPr>
    </w:p>
    <w:p w14:paraId="7AC20B28" w14:textId="77777777" w:rsidR="00CA400C" w:rsidRDefault="00CA400C" w:rsidP="00CA400C">
      <w:pPr>
        <w:spacing w:before="120" w:after="120"/>
        <w:jc w:val="center"/>
        <w:rPr>
          <w:rFonts w:ascii="Times New Roman" w:hAnsi="Times New Roman" w:cs="Times New Roman"/>
          <w:i/>
        </w:rPr>
      </w:pPr>
    </w:p>
    <w:p w14:paraId="0132EB9B" w14:textId="77777777" w:rsidR="00CA400C" w:rsidRDefault="00CA400C" w:rsidP="00CA400C">
      <w:pPr>
        <w:spacing w:before="120" w:after="120"/>
        <w:jc w:val="center"/>
        <w:rPr>
          <w:rFonts w:ascii="Times New Roman" w:hAnsi="Times New Roman" w:cs="Times New Roman"/>
          <w:i/>
        </w:rPr>
      </w:pPr>
    </w:p>
    <w:p w14:paraId="19854658" w14:textId="77777777" w:rsidR="00CA400C" w:rsidRDefault="00CA400C" w:rsidP="00CA400C">
      <w:pPr>
        <w:spacing w:before="120" w:after="120"/>
        <w:jc w:val="center"/>
        <w:rPr>
          <w:rFonts w:ascii="Times New Roman" w:hAnsi="Times New Roman" w:cs="Times New Roman"/>
          <w:i/>
        </w:rPr>
      </w:pPr>
    </w:p>
    <w:p w14:paraId="28E857D1" w14:textId="77777777" w:rsidR="00CA400C" w:rsidRDefault="00CA400C" w:rsidP="00CA400C">
      <w:pPr>
        <w:spacing w:before="120" w:after="120"/>
        <w:jc w:val="center"/>
        <w:rPr>
          <w:rFonts w:ascii="Times New Roman" w:hAnsi="Times New Roman" w:cs="Times New Roman"/>
          <w:i/>
        </w:rPr>
      </w:pPr>
    </w:p>
    <w:p w14:paraId="747DB498" w14:textId="77777777" w:rsidR="00CA400C" w:rsidRDefault="00CA400C" w:rsidP="00CA400C">
      <w:pPr>
        <w:spacing w:before="120" w:after="120"/>
        <w:jc w:val="center"/>
        <w:rPr>
          <w:rFonts w:ascii="Times New Roman" w:hAnsi="Times New Roman" w:cs="Times New Roman"/>
          <w:i/>
        </w:rPr>
      </w:pPr>
    </w:p>
    <w:p w14:paraId="15860E3D" w14:textId="77777777" w:rsidR="00CA400C" w:rsidRDefault="00CA400C" w:rsidP="00CA400C">
      <w:pPr>
        <w:spacing w:before="120" w:after="120"/>
        <w:jc w:val="center"/>
        <w:rPr>
          <w:rFonts w:ascii="Times New Roman" w:hAnsi="Times New Roman" w:cs="Times New Roman"/>
          <w:i/>
        </w:rPr>
      </w:pPr>
    </w:p>
    <w:p w14:paraId="52DD0251" w14:textId="77777777" w:rsidR="00CA400C" w:rsidRDefault="00CA400C" w:rsidP="00CA400C">
      <w:pPr>
        <w:spacing w:before="120" w:after="120"/>
        <w:jc w:val="center"/>
        <w:rPr>
          <w:rFonts w:ascii="Times New Roman" w:hAnsi="Times New Roman" w:cs="Times New Roman"/>
          <w:i/>
        </w:rPr>
      </w:pPr>
    </w:p>
    <w:p w14:paraId="03AEB432" w14:textId="77777777" w:rsidR="00CA400C" w:rsidRDefault="00CA400C" w:rsidP="00CA400C">
      <w:pPr>
        <w:spacing w:before="120" w:after="120"/>
        <w:jc w:val="center"/>
        <w:rPr>
          <w:rFonts w:ascii="Times New Roman" w:hAnsi="Times New Roman" w:cs="Times New Roman"/>
          <w:i/>
        </w:rPr>
      </w:pPr>
    </w:p>
    <w:p w14:paraId="6043A2AD" w14:textId="77777777" w:rsidR="00CA400C" w:rsidRDefault="00CA400C" w:rsidP="00CA400C">
      <w:pPr>
        <w:spacing w:before="120" w:after="120"/>
        <w:jc w:val="center"/>
        <w:rPr>
          <w:rFonts w:ascii="Times New Roman" w:hAnsi="Times New Roman" w:cs="Times New Roman"/>
          <w:i/>
        </w:rPr>
      </w:pPr>
    </w:p>
    <w:p w14:paraId="1DC4AFC0" w14:textId="77777777" w:rsidR="00CA400C" w:rsidRDefault="00CA400C" w:rsidP="00CA400C">
      <w:pPr>
        <w:spacing w:before="120" w:after="120"/>
        <w:jc w:val="center"/>
        <w:rPr>
          <w:rFonts w:ascii="Times New Roman" w:hAnsi="Times New Roman" w:cs="Times New Roman"/>
          <w:i/>
        </w:rPr>
      </w:pPr>
    </w:p>
    <w:p w14:paraId="1D97179E" w14:textId="77777777" w:rsidR="00CA400C" w:rsidRDefault="00CA400C" w:rsidP="00CA400C">
      <w:pPr>
        <w:spacing w:before="120" w:after="120"/>
        <w:jc w:val="center"/>
        <w:rPr>
          <w:rFonts w:ascii="Times New Roman" w:hAnsi="Times New Roman" w:cs="Times New Roman"/>
          <w:i/>
        </w:rPr>
      </w:pPr>
    </w:p>
    <w:p w14:paraId="4871CB16" w14:textId="77777777" w:rsidR="00CA400C" w:rsidRDefault="00CA400C" w:rsidP="00CA400C">
      <w:pPr>
        <w:spacing w:before="120" w:after="120"/>
        <w:jc w:val="center"/>
        <w:rPr>
          <w:rFonts w:ascii="Times New Roman" w:hAnsi="Times New Roman" w:cs="Times New Roman"/>
          <w:i/>
        </w:rPr>
      </w:pPr>
    </w:p>
    <w:p w14:paraId="5088D7CB" w14:textId="77777777" w:rsidR="00CA400C" w:rsidRDefault="00CA400C" w:rsidP="00CA400C">
      <w:pPr>
        <w:spacing w:before="120" w:after="120"/>
        <w:jc w:val="center"/>
        <w:rPr>
          <w:rFonts w:ascii="Times New Roman" w:hAnsi="Times New Roman" w:cs="Times New Roman"/>
          <w:i/>
        </w:rPr>
      </w:pPr>
    </w:p>
    <w:p w14:paraId="2CCB678E" w14:textId="77777777" w:rsidR="00CA400C" w:rsidRDefault="00CA400C" w:rsidP="00CA400C">
      <w:pPr>
        <w:spacing w:before="120" w:after="120"/>
        <w:jc w:val="center"/>
        <w:rPr>
          <w:rFonts w:ascii="Times New Roman" w:hAnsi="Times New Roman" w:cs="Times New Roman"/>
          <w:i/>
        </w:rPr>
      </w:pPr>
    </w:p>
    <w:p w14:paraId="12508024" w14:textId="77777777" w:rsidR="00CA400C" w:rsidRDefault="00CA400C" w:rsidP="00CA400C">
      <w:pPr>
        <w:spacing w:before="120" w:after="120"/>
        <w:jc w:val="center"/>
        <w:rPr>
          <w:rFonts w:ascii="Times New Roman" w:hAnsi="Times New Roman" w:cs="Times New Roman"/>
          <w:i/>
        </w:rPr>
      </w:pPr>
    </w:p>
    <w:p w14:paraId="3550987B" w14:textId="77777777" w:rsidR="00CA400C" w:rsidRDefault="00CA400C" w:rsidP="00CA400C">
      <w:pPr>
        <w:spacing w:before="120" w:after="120"/>
        <w:jc w:val="center"/>
        <w:rPr>
          <w:rFonts w:ascii="Times New Roman" w:hAnsi="Times New Roman" w:cs="Times New Roman"/>
          <w:i/>
        </w:rPr>
      </w:pPr>
    </w:p>
    <w:p w14:paraId="6FF67162" w14:textId="77777777" w:rsidR="00CA400C" w:rsidRDefault="00CA400C" w:rsidP="00CA400C">
      <w:pPr>
        <w:spacing w:before="120" w:after="120"/>
        <w:jc w:val="center"/>
        <w:rPr>
          <w:rFonts w:ascii="Times New Roman" w:hAnsi="Times New Roman" w:cs="Times New Roman"/>
          <w:i/>
        </w:rPr>
      </w:pPr>
    </w:p>
    <w:p w14:paraId="5C68C079" w14:textId="77777777" w:rsidR="009A3E97" w:rsidRPr="00BE3484" w:rsidRDefault="009A3E97" w:rsidP="008809FE">
      <w:pPr>
        <w:spacing w:before="120" w:after="120"/>
        <w:jc w:val="center"/>
        <w:rPr>
          <w:rFonts w:ascii="Times New Roman" w:hAnsi="Times New Roman" w:cs="Times New Roman"/>
        </w:rPr>
      </w:pPr>
      <w:r>
        <w:rPr>
          <w:rFonts w:ascii="Times New Roman" w:hAnsi="Times New Roman"/>
        </w:rPr>
        <w:t>ANNEX III</w:t>
      </w:r>
    </w:p>
    <w:p w14:paraId="39ACD62C" w14:textId="77777777" w:rsidR="00706D06" w:rsidRPr="00CC0AE2" w:rsidRDefault="00706D06" w:rsidP="008809FE">
      <w:pPr>
        <w:spacing w:before="120" w:after="120"/>
        <w:jc w:val="center"/>
        <w:rPr>
          <w:rFonts w:ascii="Times New Roman" w:hAnsi="Times New Roman" w:cs="Times New Roman"/>
          <w:b/>
          <w:bCs/>
          <w:caps/>
        </w:rPr>
      </w:pPr>
      <w:r w:rsidRPr="00CC0AE2">
        <w:rPr>
          <w:rFonts w:ascii="Times New Roman" w:hAnsi="Times New Roman"/>
          <w:b/>
          <w:bCs/>
          <w:caps/>
        </w:rPr>
        <w:t xml:space="preserve">Declaration of consent for the recording of telephone calls and the transmission of information  </w:t>
      </w:r>
    </w:p>
    <w:p w14:paraId="36A12542" w14:textId="77777777" w:rsidR="00706D06" w:rsidRPr="00BE3484" w:rsidRDefault="00706D06" w:rsidP="008809FE">
      <w:pPr>
        <w:spacing w:before="120" w:after="120"/>
        <w:rPr>
          <w:rFonts w:ascii="Times New Roman" w:hAnsi="Times New Roman" w:cs="Times New Roman"/>
        </w:rPr>
      </w:pPr>
    </w:p>
    <w:p w14:paraId="5F1F358F" w14:textId="6FE1B491" w:rsidR="00706D06" w:rsidRPr="00BE3484" w:rsidRDefault="00706D06" w:rsidP="004F390F">
      <w:pPr>
        <w:spacing w:before="120" w:after="120" w:line="360" w:lineRule="auto"/>
        <w:jc w:val="both"/>
        <w:rPr>
          <w:rFonts w:ascii="Times New Roman" w:hAnsi="Times New Roman" w:cs="Times New Roman"/>
        </w:rPr>
      </w:pPr>
      <w:r>
        <w:rPr>
          <w:rFonts w:ascii="Times New Roman" w:hAnsi="Times New Roman"/>
        </w:rPr>
        <w:t xml:space="preserve">This shall apply to the collection and processing of the personal data of natural persons representing the applicants who submit an application for admission as a registered participant in the </w:t>
      </w:r>
      <w:r w:rsidR="0055449B">
        <w:rPr>
          <w:rFonts w:ascii="Times New Roman" w:hAnsi="Times New Roman"/>
        </w:rPr>
        <w:t>Auctions GO-PT</w:t>
      </w:r>
      <w:r>
        <w:rPr>
          <w:rFonts w:ascii="Times New Roman" w:hAnsi="Times New Roman"/>
        </w:rPr>
        <w:t xml:space="preserve"> (hereinafter referred to as “Procedure”), under which the Directorate-General for Energy and Geology (hereinafter referred to as “DGEG”), OMIP Pólo Português, S.G.M.R., S.A. (hereinafter referred to as “OMIP”), and SU Eletricidade, S.A. (hereinafter referred to as “SU Electricidade”) intervene.</w:t>
      </w:r>
    </w:p>
    <w:p w14:paraId="4B568DF5"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Data Controllers</w:t>
      </w:r>
    </w:p>
    <w:p w14:paraId="5290D621" w14:textId="50D4739F" w:rsidR="00706D06" w:rsidRPr="00BE3484" w:rsidRDefault="00706D06" w:rsidP="008809FE">
      <w:pPr>
        <w:spacing w:before="120" w:after="120" w:line="360" w:lineRule="auto"/>
        <w:jc w:val="both"/>
        <w:rPr>
          <w:rFonts w:ascii="Times New Roman" w:hAnsi="Times New Roman" w:cs="Times New Roman"/>
        </w:rPr>
      </w:pPr>
      <w:r>
        <w:rPr>
          <w:rFonts w:ascii="Times New Roman" w:hAnsi="Times New Roman"/>
        </w:rPr>
        <w:t>The Data Controllers are the Portuguese government, through DGEG, with its registered office located at Avenida 5 de Outubro, n.º 208, 1069-203 Lisbon, telephone number (+351)</w:t>
      </w:r>
      <w:r w:rsidR="00F755AD">
        <w:rPr>
          <w:rFonts w:ascii="Times New Roman" w:hAnsi="Times New Roman"/>
        </w:rPr>
        <w:t> </w:t>
      </w:r>
      <w:r>
        <w:rPr>
          <w:rFonts w:ascii="Times New Roman" w:hAnsi="Times New Roman"/>
        </w:rPr>
        <w:t>21</w:t>
      </w:r>
      <w:r w:rsidR="00F755AD">
        <w:rPr>
          <w:rFonts w:ascii="Times New Roman" w:hAnsi="Times New Roman"/>
        </w:rPr>
        <w:t> </w:t>
      </w:r>
      <w:r>
        <w:rPr>
          <w:rFonts w:ascii="Times New Roman" w:hAnsi="Times New Roman"/>
        </w:rPr>
        <w:t>792</w:t>
      </w:r>
      <w:r w:rsidR="00F755AD">
        <w:rPr>
          <w:rFonts w:ascii="Times New Roman" w:hAnsi="Times New Roman"/>
        </w:rPr>
        <w:t> </w:t>
      </w:r>
      <w:r>
        <w:rPr>
          <w:rFonts w:ascii="Times New Roman" w:hAnsi="Times New Roman"/>
        </w:rPr>
        <w:t>27</w:t>
      </w:r>
      <w:r w:rsidR="00F755AD">
        <w:rPr>
          <w:rFonts w:ascii="Times New Roman" w:hAnsi="Times New Roman"/>
        </w:rPr>
        <w:t> </w:t>
      </w:r>
      <w:r>
        <w:rPr>
          <w:rFonts w:ascii="Times New Roman" w:hAnsi="Times New Roman"/>
        </w:rPr>
        <w:t xml:space="preserve">04 or (+351) 21 79 22 706 and e-mail address geral@dgeg.gov.pt, OMIP, with its registered office located at Avenida Casal Ribeiro, n.º 14 – 8.º, 1000-092 Lisbon, e-mail address omip@omip.pt, and SU Electricidade, with its registered office located at </w:t>
      </w:r>
      <w:r w:rsidR="009C72C7">
        <w:rPr>
          <w:rFonts w:ascii="Times New Roman" w:hAnsi="Times New Roman"/>
        </w:rPr>
        <w:t>Rua</w:t>
      </w:r>
      <w:r w:rsidR="009C72C7" w:rsidRPr="009C72C7">
        <w:rPr>
          <w:rFonts w:ascii="Times New Roman" w:hAnsi="Times New Roman"/>
        </w:rPr>
        <w:t xml:space="preserve"> D. Luís I, nº 12, 1249 - 008 Lisbo</w:t>
      </w:r>
      <w:r w:rsidR="009C72C7">
        <w:rPr>
          <w:rFonts w:ascii="Times New Roman" w:hAnsi="Times New Roman"/>
        </w:rPr>
        <w:t>n</w:t>
      </w:r>
      <w:r>
        <w:rPr>
          <w:rFonts w:ascii="Times New Roman" w:hAnsi="Times New Roman"/>
        </w:rPr>
        <w:t>, e</w:t>
      </w:r>
      <w:r w:rsidR="00C17AEA">
        <w:rPr>
          <w:rFonts w:ascii="Times New Roman" w:hAnsi="Times New Roman"/>
        </w:rPr>
        <w:t>-</w:t>
      </w:r>
      <w:r>
        <w:rPr>
          <w:rFonts w:ascii="Times New Roman" w:hAnsi="Times New Roman"/>
        </w:rPr>
        <w:t>mail address dpo@sueletricidade.pt.</w:t>
      </w:r>
    </w:p>
    <w:p w14:paraId="19739FEF"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Contact information of the Data Protection Officers</w:t>
      </w:r>
    </w:p>
    <w:p w14:paraId="03CB558A" w14:textId="77777777" w:rsidR="00706D06" w:rsidRPr="000C422C" w:rsidRDefault="00706D06" w:rsidP="008809FE">
      <w:pPr>
        <w:spacing w:before="120" w:after="120" w:line="360" w:lineRule="auto"/>
        <w:ind w:left="708"/>
        <w:jc w:val="both"/>
        <w:rPr>
          <w:rFonts w:ascii="Times New Roman" w:hAnsi="Times New Roman" w:cs="Times New Roman"/>
          <w:lang w:val="it-IT"/>
        </w:rPr>
      </w:pPr>
      <w:r w:rsidRPr="000C422C">
        <w:rPr>
          <w:rFonts w:ascii="Times New Roman" w:hAnsi="Times New Roman"/>
          <w:lang w:val="it-IT"/>
        </w:rPr>
        <w:t>i) DGEG</w:t>
      </w:r>
    </w:p>
    <w:p w14:paraId="2A9D4E13" w14:textId="77777777" w:rsidR="00706D06" w:rsidRPr="000C422C" w:rsidRDefault="009A185D" w:rsidP="008809FE">
      <w:pPr>
        <w:spacing w:before="120" w:after="120" w:line="360" w:lineRule="auto"/>
        <w:ind w:left="708"/>
        <w:jc w:val="both"/>
        <w:rPr>
          <w:rStyle w:val="Hiperligao"/>
          <w:lang w:val="it-IT"/>
        </w:rPr>
      </w:pPr>
      <w:r w:rsidRPr="000C422C">
        <w:rPr>
          <w:rStyle w:val="Hiperligao"/>
          <w:lang w:val="it-IT"/>
        </w:rPr>
        <w:t>geral@dgeg.gov.pt</w:t>
      </w:r>
    </w:p>
    <w:p w14:paraId="6FC8F88E" w14:textId="77777777" w:rsidR="00706D06" w:rsidRPr="000C422C" w:rsidRDefault="00706D06" w:rsidP="008809FE">
      <w:pPr>
        <w:spacing w:before="120" w:after="120" w:line="360" w:lineRule="auto"/>
        <w:ind w:left="708"/>
        <w:jc w:val="both"/>
        <w:rPr>
          <w:rFonts w:ascii="Times New Roman" w:hAnsi="Times New Roman" w:cs="Times New Roman"/>
          <w:lang w:val="it-IT"/>
        </w:rPr>
      </w:pPr>
      <w:r w:rsidRPr="000C422C">
        <w:rPr>
          <w:rFonts w:ascii="Times New Roman" w:hAnsi="Times New Roman"/>
          <w:lang w:val="it-IT"/>
        </w:rPr>
        <w:t>ii) OMIP</w:t>
      </w:r>
    </w:p>
    <w:p w14:paraId="0BF44EA2" w14:textId="77777777" w:rsidR="002044B7" w:rsidRPr="000C422C" w:rsidRDefault="00C9770F" w:rsidP="008809FE">
      <w:pPr>
        <w:spacing w:before="120" w:after="120" w:line="360" w:lineRule="auto"/>
        <w:ind w:left="708"/>
        <w:jc w:val="both"/>
        <w:rPr>
          <w:lang w:val="es-ES_tradnl"/>
        </w:rPr>
      </w:pPr>
      <w:hyperlink r:id="rId8" w:history="1">
        <w:r w:rsidRPr="000C422C">
          <w:rPr>
            <w:rStyle w:val="Hiperligao"/>
            <w:lang w:val="es-ES_tradnl"/>
          </w:rPr>
          <w:t>gdpr@omip.pt</w:t>
        </w:r>
      </w:hyperlink>
    </w:p>
    <w:p w14:paraId="367957D2" w14:textId="77777777" w:rsidR="0029071D" w:rsidRPr="000C422C" w:rsidRDefault="0029071D" w:rsidP="008809FE">
      <w:pPr>
        <w:spacing w:before="120" w:after="120" w:line="360" w:lineRule="auto"/>
        <w:ind w:left="708"/>
        <w:jc w:val="both"/>
        <w:rPr>
          <w:rFonts w:ascii="Times New Roman" w:hAnsi="Times New Roman" w:cs="Times New Roman"/>
          <w:lang w:val="es-ES_tradnl"/>
        </w:rPr>
      </w:pPr>
      <w:r w:rsidRPr="000C422C">
        <w:rPr>
          <w:rFonts w:ascii="Times New Roman" w:hAnsi="Times New Roman"/>
          <w:lang w:val="es-ES_tradnl"/>
        </w:rPr>
        <w:t>iii) SU Eletricidade</w:t>
      </w:r>
    </w:p>
    <w:p w14:paraId="682AEB41" w14:textId="77777777" w:rsidR="002044B7" w:rsidRPr="000C422C" w:rsidRDefault="002044B7" w:rsidP="008809FE">
      <w:pPr>
        <w:spacing w:before="120" w:after="120" w:line="360" w:lineRule="auto"/>
        <w:ind w:left="708"/>
        <w:jc w:val="both"/>
        <w:rPr>
          <w:rStyle w:val="Hiperligao"/>
          <w:lang w:val="es-ES_tradnl"/>
        </w:rPr>
      </w:pPr>
      <w:r w:rsidRPr="000C422C">
        <w:rPr>
          <w:rStyle w:val="Hiperligao"/>
          <w:lang w:val="es-ES_tradnl"/>
        </w:rPr>
        <w:t>dpo@sueletricidade.pt</w:t>
      </w:r>
    </w:p>
    <w:p w14:paraId="518FFFE4"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Purposes and legal basis for processing personal data</w:t>
      </w:r>
    </w:p>
    <w:p w14:paraId="1C58C185"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i) With the consent of the data subject, DGEG, OMIP and SU Eletricidade may record telephone calls as proof of business transactions and any other communication with the representatives of registered participants, in which case the legal basis for recording telephone calls is the consent of the data subject;</w:t>
      </w:r>
    </w:p>
    <w:p w14:paraId="1404D02E"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 xml:space="preserve">ii) Any personal data collected from recordings will be used to identify the representative of the registered participant and the legal basis for the processing of such </w:t>
      </w:r>
      <w:r>
        <w:rPr>
          <w:rFonts w:ascii="Times New Roman" w:hAnsi="Times New Roman"/>
        </w:rPr>
        <w:lastRenderedPageBreak/>
        <w:t xml:space="preserve">data shall be the legitimate interests of DGEG, </w:t>
      </w:r>
      <w:r w:rsidR="00C17AEA">
        <w:rPr>
          <w:rFonts w:ascii="Times New Roman" w:hAnsi="Times New Roman"/>
        </w:rPr>
        <w:t>of</w:t>
      </w:r>
      <w:r>
        <w:rPr>
          <w:rFonts w:ascii="Times New Roman" w:hAnsi="Times New Roman"/>
        </w:rPr>
        <w:t xml:space="preserve"> OMIP and SU Eletricidade in confirming whether the data subject has sufficient powers to bind the appl</w:t>
      </w:r>
      <w:r w:rsidR="00F755AD">
        <w:rPr>
          <w:rFonts w:ascii="Times New Roman" w:hAnsi="Times New Roman"/>
        </w:rPr>
        <w:t>icant</w:t>
      </w:r>
      <w:r>
        <w:rPr>
          <w:rFonts w:ascii="Times New Roman" w:hAnsi="Times New Roman"/>
        </w:rPr>
        <w:t xml:space="preserve"> entity.</w:t>
      </w:r>
    </w:p>
    <w:p w14:paraId="17B3256B"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Recipients of personal data</w:t>
      </w:r>
    </w:p>
    <w:p w14:paraId="4EAF2FE5" w14:textId="77777777" w:rsidR="00706D06" w:rsidRPr="00BE3484" w:rsidRDefault="00706D06" w:rsidP="008809FE">
      <w:pPr>
        <w:spacing w:before="120" w:after="120" w:line="360" w:lineRule="auto"/>
        <w:jc w:val="both"/>
        <w:rPr>
          <w:rFonts w:ascii="Times New Roman" w:hAnsi="Times New Roman" w:cs="Times New Roman"/>
        </w:rPr>
      </w:pPr>
      <w:r>
        <w:rPr>
          <w:rFonts w:ascii="Times New Roman" w:hAnsi="Times New Roman"/>
        </w:rPr>
        <w:t>DGEG, OMIP and SU Electricidade may only share the personal data collected pursuant to the above with each other.</w:t>
      </w:r>
    </w:p>
    <w:p w14:paraId="31CD3C9C"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Data retention period</w:t>
      </w:r>
    </w:p>
    <w:p w14:paraId="299AED09"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i) The recordings of telephone calls shall be stored for as long as needed for the physical settlement of guarantees of origin, but never for more than 30 days.</w:t>
      </w:r>
    </w:p>
    <w:p w14:paraId="37844D3C"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ii) The personal data required for confirming the powers of the representatives of data subjects shall be stored until the date on which the guarantees of origin referred to in the preceding paragraph are physically settled.</w:t>
      </w:r>
    </w:p>
    <w:p w14:paraId="6993BDE7"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Rights of the data subject</w:t>
      </w:r>
    </w:p>
    <w:p w14:paraId="63E92F37"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 xml:space="preserve">i) Data subjects have the right to request that DGEG, OMIP and SU Electricidade provide </w:t>
      </w:r>
      <w:r w:rsidR="00F755AD">
        <w:rPr>
          <w:rFonts w:ascii="Times New Roman" w:hAnsi="Times New Roman"/>
        </w:rPr>
        <w:t xml:space="preserve">them </w:t>
      </w:r>
      <w:r>
        <w:rPr>
          <w:rFonts w:ascii="Times New Roman" w:hAnsi="Times New Roman"/>
        </w:rPr>
        <w:t>access to their personal data, as well as the rectification or erasure of their data and to restrict or object to the processing thereof and to data portability, in accordance with the law in force. These rights may be exercised by sending an e-mail to the aforementioned e-mail addresses. Data subjects may withdraw consent at any time without affecting the lawfulness of processing based on prior consent.</w:t>
      </w:r>
    </w:p>
    <w:p w14:paraId="03C54B31"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ii) Data subjects also have the right to lodge a complaint with the supervisory authority (CNPD - Portuguese Data Protection Authority) when they believe their rights have been violated.</w:t>
      </w:r>
    </w:p>
    <w:p w14:paraId="42E25418" w14:textId="605DBF48" w:rsidR="00706D06" w:rsidRPr="00BE3484" w:rsidRDefault="00706D06" w:rsidP="008809FE">
      <w:pPr>
        <w:spacing w:before="120" w:after="120" w:line="360" w:lineRule="auto"/>
        <w:jc w:val="both"/>
        <w:rPr>
          <w:rFonts w:ascii="Times New Roman" w:hAnsi="Times New Roman" w:cs="Times New Roman"/>
        </w:rPr>
      </w:pPr>
      <w:r>
        <w:rPr>
          <w:rFonts w:ascii="Times New Roman" w:hAnsi="Times New Roman"/>
        </w:rPr>
        <w:t xml:space="preserve">The data subject identified below consents to the recording of telephone </w:t>
      </w:r>
      <w:r w:rsidR="00F755AD">
        <w:rPr>
          <w:rFonts w:ascii="Times New Roman" w:hAnsi="Times New Roman"/>
        </w:rPr>
        <w:t>conversations with</w:t>
      </w:r>
      <w:r>
        <w:rPr>
          <w:rFonts w:ascii="Times New Roman" w:hAnsi="Times New Roman"/>
        </w:rPr>
        <w:t xml:space="preserve"> DGEG, OMIP and SU Electricidade relating to the </w:t>
      </w:r>
      <w:r w:rsidR="0055449B">
        <w:rPr>
          <w:rFonts w:ascii="Times New Roman" w:hAnsi="Times New Roman"/>
        </w:rPr>
        <w:t>Auctions GO-PT</w:t>
      </w:r>
      <w:r>
        <w:rPr>
          <w:rFonts w:ascii="Times New Roman" w:hAnsi="Times New Roman"/>
        </w:rPr>
        <w:t>.</w:t>
      </w:r>
    </w:p>
    <w:p w14:paraId="7FC0E685" w14:textId="77777777" w:rsidR="008C1C7D" w:rsidRPr="00BE3484" w:rsidRDefault="008C1C7D" w:rsidP="008809FE">
      <w:pPr>
        <w:spacing w:before="120" w:after="120" w:line="360" w:lineRule="auto"/>
        <w:jc w:val="both"/>
        <w:rPr>
          <w:rFonts w:ascii="Times New Roman" w:hAnsi="Times New Roman" w:cs="Times New Roman"/>
        </w:rPr>
      </w:pPr>
    </w:p>
    <w:p w14:paraId="2658794C" w14:textId="77777777" w:rsidR="00706D06" w:rsidRPr="00BE3484" w:rsidRDefault="00706D06" w:rsidP="008809FE">
      <w:pPr>
        <w:spacing w:before="120" w:after="120" w:line="360" w:lineRule="auto"/>
        <w:jc w:val="center"/>
        <w:rPr>
          <w:rFonts w:ascii="Times New Roman" w:hAnsi="Times New Roman" w:cs="Times New Roman"/>
        </w:rPr>
      </w:pPr>
      <w:r>
        <w:rPr>
          <w:rFonts w:ascii="Times New Roman" w:hAnsi="Times New Roman"/>
        </w:rPr>
        <w:t>__________________________________________________</w:t>
      </w:r>
    </w:p>
    <w:p w14:paraId="2B32318D" w14:textId="77777777" w:rsidR="00706D06" w:rsidRPr="00BE3484" w:rsidRDefault="00706D06" w:rsidP="004F390F">
      <w:pPr>
        <w:spacing w:before="120" w:after="120" w:line="360" w:lineRule="auto"/>
        <w:jc w:val="center"/>
        <w:rPr>
          <w:rFonts w:ascii="Times New Roman" w:hAnsi="Times New Roman" w:cs="Times New Roman"/>
        </w:rPr>
      </w:pPr>
      <w:r>
        <w:rPr>
          <w:rFonts w:ascii="Times New Roman" w:hAnsi="Times New Roman"/>
        </w:rPr>
        <w:t>[</w:t>
      </w:r>
      <w:r>
        <w:rPr>
          <w:rFonts w:ascii="Times New Roman" w:hAnsi="Times New Roman"/>
          <w:i/>
          <w:highlight w:val="yellow"/>
        </w:rPr>
        <w:t>Date and signature of the data subject</w:t>
      </w:r>
      <w:r>
        <w:rPr>
          <w:rFonts w:ascii="Times New Roman" w:hAnsi="Times New Roman"/>
        </w:rPr>
        <w:t>]</w:t>
      </w:r>
    </w:p>
    <w:sectPr w:rsidR="00706D06" w:rsidRPr="00BE3484" w:rsidSect="006E3011">
      <w:headerReference w:type="even" r:id="rId9"/>
      <w:head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3B2C4" w14:textId="77777777" w:rsidR="00E23540" w:rsidRDefault="00E23540" w:rsidP="00E43F01">
      <w:pPr>
        <w:spacing w:after="0" w:line="240" w:lineRule="auto"/>
      </w:pPr>
      <w:r>
        <w:separator/>
      </w:r>
    </w:p>
  </w:endnote>
  <w:endnote w:type="continuationSeparator" w:id="0">
    <w:p w14:paraId="0178A921" w14:textId="77777777" w:rsidR="00E23540" w:rsidRDefault="00E23540" w:rsidP="00E43F01">
      <w:pPr>
        <w:spacing w:after="0" w:line="240" w:lineRule="auto"/>
      </w:pPr>
      <w:r>
        <w:continuationSeparator/>
      </w:r>
    </w:p>
  </w:endnote>
  <w:endnote w:type="continuationNotice" w:id="1">
    <w:p w14:paraId="63591F76" w14:textId="77777777" w:rsidR="00E23540" w:rsidRDefault="00E23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3B900" w14:textId="77777777" w:rsidR="00E23540" w:rsidRDefault="00E23540" w:rsidP="00E43F01">
      <w:pPr>
        <w:spacing w:after="0" w:line="240" w:lineRule="auto"/>
      </w:pPr>
      <w:r>
        <w:separator/>
      </w:r>
    </w:p>
  </w:footnote>
  <w:footnote w:type="continuationSeparator" w:id="0">
    <w:p w14:paraId="36C74D6A" w14:textId="77777777" w:rsidR="00E23540" w:rsidRDefault="00E23540" w:rsidP="00E43F01">
      <w:pPr>
        <w:spacing w:after="0" w:line="240" w:lineRule="auto"/>
      </w:pPr>
      <w:r>
        <w:continuationSeparator/>
      </w:r>
    </w:p>
  </w:footnote>
  <w:footnote w:type="continuationNotice" w:id="1">
    <w:p w14:paraId="503FFA97" w14:textId="77777777" w:rsidR="00E23540" w:rsidRDefault="00E23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C82D6" w14:textId="77777777" w:rsidR="008E454E" w:rsidRDefault="008E45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FF99" w14:textId="77777777" w:rsidR="005F01D0" w:rsidRPr="004F390F" w:rsidRDefault="005F01D0" w:rsidP="004F390F">
    <w:pPr>
      <w:pStyle w:val="Cabealho"/>
      <w:jc w:val="right"/>
      <w:rPr>
        <w:rFonts w:ascii="Times New Roman" w:hAnsi="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2DE7" w14:textId="77777777" w:rsidR="008E454E" w:rsidRDefault="008E45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2256"/>
    <w:multiLevelType w:val="hybridMultilevel"/>
    <w:tmpl w:val="BC6AC46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 w15:restartNumberingAfterBreak="0">
    <w:nsid w:val="1F3D2AD6"/>
    <w:multiLevelType w:val="hybridMultilevel"/>
    <w:tmpl w:val="DB6EC9DE"/>
    <w:lvl w:ilvl="0" w:tplc="0816000F">
      <w:start w:val="1"/>
      <w:numFmt w:val="decimal"/>
      <w:lvlText w:val="%1."/>
      <w:lvlJc w:val="left"/>
      <w:pPr>
        <w:ind w:left="720" w:hanging="360"/>
      </w:pPr>
    </w:lvl>
    <w:lvl w:ilvl="1" w:tplc="27B0166C">
      <w:start w:val="1"/>
      <w:numFmt w:val="lowerRoman"/>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 w15:restartNumberingAfterBreak="0">
    <w:nsid w:val="29013893"/>
    <w:multiLevelType w:val="hybridMultilevel"/>
    <w:tmpl w:val="595EC3D2"/>
    <w:lvl w:ilvl="0" w:tplc="27B0166C">
      <w:start w:val="1"/>
      <w:numFmt w:val="lowerRoman"/>
      <w:lvlText w:val="%1)"/>
      <w:lvlJc w:val="left"/>
      <w:pPr>
        <w:ind w:left="1440" w:hanging="360"/>
      </w:pPr>
    </w:lvl>
    <w:lvl w:ilvl="1" w:tplc="08160019">
      <w:start w:val="1"/>
      <w:numFmt w:val="lowerLetter"/>
      <w:lvlText w:val="%2."/>
      <w:lvlJc w:val="left"/>
      <w:pPr>
        <w:ind w:left="2160" w:hanging="360"/>
      </w:pPr>
    </w:lvl>
    <w:lvl w:ilvl="2" w:tplc="0816001B">
      <w:start w:val="1"/>
      <w:numFmt w:val="lowerRoman"/>
      <w:lvlText w:val="%3."/>
      <w:lvlJc w:val="right"/>
      <w:pPr>
        <w:ind w:left="2880" w:hanging="180"/>
      </w:pPr>
    </w:lvl>
    <w:lvl w:ilvl="3" w:tplc="0816000F">
      <w:start w:val="1"/>
      <w:numFmt w:val="decimal"/>
      <w:lvlText w:val="%4."/>
      <w:lvlJc w:val="left"/>
      <w:pPr>
        <w:ind w:left="3600" w:hanging="360"/>
      </w:pPr>
    </w:lvl>
    <w:lvl w:ilvl="4" w:tplc="08160019">
      <w:start w:val="1"/>
      <w:numFmt w:val="lowerLetter"/>
      <w:lvlText w:val="%5."/>
      <w:lvlJc w:val="left"/>
      <w:pPr>
        <w:ind w:left="4320" w:hanging="360"/>
      </w:pPr>
    </w:lvl>
    <w:lvl w:ilvl="5" w:tplc="0816001B">
      <w:start w:val="1"/>
      <w:numFmt w:val="lowerRoman"/>
      <w:lvlText w:val="%6."/>
      <w:lvlJc w:val="right"/>
      <w:pPr>
        <w:ind w:left="5040" w:hanging="180"/>
      </w:pPr>
    </w:lvl>
    <w:lvl w:ilvl="6" w:tplc="0816000F">
      <w:start w:val="1"/>
      <w:numFmt w:val="decimal"/>
      <w:lvlText w:val="%7."/>
      <w:lvlJc w:val="left"/>
      <w:pPr>
        <w:ind w:left="5760" w:hanging="360"/>
      </w:pPr>
    </w:lvl>
    <w:lvl w:ilvl="7" w:tplc="08160019">
      <w:start w:val="1"/>
      <w:numFmt w:val="lowerLetter"/>
      <w:lvlText w:val="%8."/>
      <w:lvlJc w:val="left"/>
      <w:pPr>
        <w:ind w:left="6480" w:hanging="360"/>
      </w:pPr>
    </w:lvl>
    <w:lvl w:ilvl="8" w:tplc="0816001B">
      <w:start w:val="1"/>
      <w:numFmt w:val="lowerRoman"/>
      <w:lvlText w:val="%9."/>
      <w:lvlJc w:val="right"/>
      <w:pPr>
        <w:ind w:left="7200" w:hanging="180"/>
      </w:pPr>
    </w:lvl>
  </w:abstractNum>
  <w:abstractNum w:abstractNumId="3" w15:restartNumberingAfterBreak="0">
    <w:nsid w:val="5F133296"/>
    <w:multiLevelType w:val="hybridMultilevel"/>
    <w:tmpl w:val="DB6EC9DE"/>
    <w:lvl w:ilvl="0" w:tplc="0816000F">
      <w:start w:val="1"/>
      <w:numFmt w:val="decimal"/>
      <w:lvlText w:val="%1."/>
      <w:lvlJc w:val="left"/>
      <w:pPr>
        <w:ind w:left="720" w:hanging="360"/>
      </w:pPr>
    </w:lvl>
    <w:lvl w:ilvl="1" w:tplc="27B0166C">
      <w:start w:val="1"/>
      <w:numFmt w:val="lowerRoman"/>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4" w15:restartNumberingAfterBreak="0">
    <w:nsid w:val="663B2E4A"/>
    <w:multiLevelType w:val="hybridMultilevel"/>
    <w:tmpl w:val="BC6AC46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5" w15:restartNumberingAfterBreak="0">
    <w:nsid w:val="68641BE3"/>
    <w:multiLevelType w:val="hybridMultilevel"/>
    <w:tmpl w:val="FB9C371E"/>
    <w:lvl w:ilvl="0" w:tplc="E8103936">
      <w:start w:val="1"/>
      <w:numFmt w:val="upp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49C6097"/>
    <w:multiLevelType w:val="hybridMultilevel"/>
    <w:tmpl w:val="BC6AC46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16cid:durableId="854728974">
    <w:abstractNumId w:val="0"/>
  </w:num>
  <w:num w:numId="2" w16cid:durableId="275061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2929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5557640">
    <w:abstractNumId w:val="0"/>
  </w:num>
  <w:num w:numId="5" w16cid:durableId="677000063">
    <w:abstractNumId w:val="6"/>
  </w:num>
  <w:num w:numId="6" w16cid:durableId="1696618544">
    <w:abstractNumId w:val="4"/>
  </w:num>
  <w:num w:numId="7" w16cid:durableId="1174999190">
    <w:abstractNumId w:val="1"/>
  </w:num>
  <w:num w:numId="8" w16cid:durableId="231014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4025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35719"/>
    <w:rsid w:val="000C422C"/>
    <w:rsid w:val="000E4E60"/>
    <w:rsid w:val="001072DC"/>
    <w:rsid w:val="00194BC9"/>
    <w:rsid w:val="001E3425"/>
    <w:rsid w:val="002044B7"/>
    <w:rsid w:val="002106BC"/>
    <w:rsid w:val="00226620"/>
    <w:rsid w:val="0025086B"/>
    <w:rsid w:val="00271CDC"/>
    <w:rsid w:val="002757CE"/>
    <w:rsid w:val="0029071D"/>
    <w:rsid w:val="00294AF7"/>
    <w:rsid w:val="002C428B"/>
    <w:rsid w:val="002C4597"/>
    <w:rsid w:val="0033107F"/>
    <w:rsid w:val="003363E4"/>
    <w:rsid w:val="00364ABB"/>
    <w:rsid w:val="0037352D"/>
    <w:rsid w:val="004009AD"/>
    <w:rsid w:val="00416DF9"/>
    <w:rsid w:val="00424AEF"/>
    <w:rsid w:val="004260CA"/>
    <w:rsid w:val="004319A6"/>
    <w:rsid w:val="00467F9F"/>
    <w:rsid w:val="00471372"/>
    <w:rsid w:val="00474360"/>
    <w:rsid w:val="004F390F"/>
    <w:rsid w:val="004F7E49"/>
    <w:rsid w:val="0055449B"/>
    <w:rsid w:val="0055624A"/>
    <w:rsid w:val="00580E9C"/>
    <w:rsid w:val="005B792F"/>
    <w:rsid w:val="005E5A26"/>
    <w:rsid w:val="005F01D0"/>
    <w:rsid w:val="005F0532"/>
    <w:rsid w:val="00660DDB"/>
    <w:rsid w:val="006B3332"/>
    <w:rsid w:val="006C476C"/>
    <w:rsid w:val="006E3011"/>
    <w:rsid w:val="006F76C0"/>
    <w:rsid w:val="00706D06"/>
    <w:rsid w:val="00742BA5"/>
    <w:rsid w:val="00776DD1"/>
    <w:rsid w:val="00786523"/>
    <w:rsid w:val="00786D82"/>
    <w:rsid w:val="007C2D39"/>
    <w:rsid w:val="007D1E60"/>
    <w:rsid w:val="00814D14"/>
    <w:rsid w:val="00860A04"/>
    <w:rsid w:val="00864D5F"/>
    <w:rsid w:val="008809FE"/>
    <w:rsid w:val="00881745"/>
    <w:rsid w:val="008B0311"/>
    <w:rsid w:val="008B74A9"/>
    <w:rsid w:val="008C1C7D"/>
    <w:rsid w:val="008C653B"/>
    <w:rsid w:val="008D6C93"/>
    <w:rsid w:val="008D6CB7"/>
    <w:rsid w:val="008E454E"/>
    <w:rsid w:val="008E7A2F"/>
    <w:rsid w:val="00932830"/>
    <w:rsid w:val="00935386"/>
    <w:rsid w:val="00966DC3"/>
    <w:rsid w:val="00994BEC"/>
    <w:rsid w:val="009A185D"/>
    <w:rsid w:val="009A3E97"/>
    <w:rsid w:val="009C72C7"/>
    <w:rsid w:val="009D1392"/>
    <w:rsid w:val="009D799E"/>
    <w:rsid w:val="00A249C0"/>
    <w:rsid w:val="00A56E11"/>
    <w:rsid w:val="00A63D6B"/>
    <w:rsid w:val="00AC035E"/>
    <w:rsid w:val="00B1005F"/>
    <w:rsid w:val="00B35719"/>
    <w:rsid w:val="00B52CFE"/>
    <w:rsid w:val="00B6756C"/>
    <w:rsid w:val="00B74D56"/>
    <w:rsid w:val="00B810DC"/>
    <w:rsid w:val="00B95828"/>
    <w:rsid w:val="00BC399A"/>
    <w:rsid w:val="00BE3484"/>
    <w:rsid w:val="00C054F7"/>
    <w:rsid w:val="00C17AEA"/>
    <w:rsid w:val="00C548A2"/>
    <w:rsid w:val="00C9770F"/>
    <w:rsid w:val="00CA400C"/>
    <w:rsid w:val="00CC0AE2"/>
    <w:rsid w:val="00D0401E"/>
    <w:rsid w:val="00D360FE"/>
    <w:rsid w:val="00E20A84"/>
    <w:rsid w:val="00E23540"/>
    <w:rsid w:val="00E43C38"/>
    <w:rsid w:val="00E43F01"/>
    <w:rsid w:val="00E86299"/>
    <w:rsid w:val="00EB1A9F"/>
    <w:rsid w:val="00EB3E2C"/>
    <w:rsid w:val="00EE1C95"/>
    <w:rsid w:val="00EE7020"/>
    <w:rsid w:val="00F42061"/>
    <w:rsid w:val="00F56B88"/>
    <w:rsid w:val="00F613B5"/>
    <w:rsid w:val="00F755AD"/>
    <w:rsid w:val="00F75D51"/>
    <w:rsid w:val="00F963FB"/>
    <w:rsid w:val="00FA42D0"/>
    <w:rsid w:val="00FB44A0"/>
    <w:rsid w:val="00FB5055"/>
    <w:rsid w:val="00FC7C53"/>
    <w:rsid w:val="00FD5D03"/>
    <w:rsid w:val="00FD6557"/>
    <w:rsid w:val="00FE6B92"/>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4A93F1"/>
  <w15:docId w15:val="{EB5A1AA8-50C1-4421-85DC-50556F73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11"/>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Texto">
    <w:name w:val="Contrato - Texto"/>
    <w:basedOn w:val="Normal"/>
    <w:rsid w:val="004260CA"/>
    <w:pPr>
      <w:spacing w:after="120" w:line="360" w:lineRule="auto"/>
      <w:ind w:left="567"/>
      <w:jc w:val="both"/>
    </w:pPr>
    <w:rPr>
      <w:rFonts w:ascii="Trebuchet MS" w:eastAsia="Times New Roman" w:hAnsi="Trebuchet MS" w:cs="Times New Roman"/>
      <w:color w:val="000000"/>
      <w:sz w:val="20"/>
      <w:szCs w:val="20"/>
    </w:rPr>
  </w:style>
  <w:style w:type="paragraph" w:customStyle="1" w:styleId="Minuta-Texto">
    <w:name w:val="Minuta - Texto"/>
    <w:basedOn w:val="Contrato-Texto"/>
    <w:rsid w:val="004260CA"/>
    <w:pPr>
      <w:ind w:left="0"/>
    </w:pPr>
  </w:style>
  <w:style w:type="paragraph" w:styleId="Textodenotaderodap">
    <w:name w:val="footnote text"/>
    <w:basedOn w:val="Normal"/>
    <w:link w:val="TextodenotaderodapCarter"/>
    <w:semiHidden/>
    <w:unhideWhenUsed/>
    <w:rsid w:val="00E43F01"/>
    <w:pPr>
      <w:spacing w:after="0" w:line="360" w:lineRule="atLeast"/>
      <w:jc w:val="both"/>
    </w:pPr>
    <w:rPr>
      <w:rFonts w:ascii="Book Antiqua" w:eastAsia="Times New Roman" w:hAnsi="Book Antiqua" w:cs="Times New Roman"/>
      <w:sz w:val="20"/>
      <w:szCs w:val="20"/>
      <w:lang w:eastAsia="pt-PT"/>
    </w:rPr>
  </w:style>
  <w:style w:type="character" w:customStyle="1" w:styleId="TextodenotaderodapCarter">
    <w:name w:val="Texto de nota de rodapé Caráter"/>
    <w:basedOn w:val="Tipodeletrapredefinidodopargrafo"/>
    <w:link w:val="Textodenotaderodap"/>
    <w:semiHidden/>
    <w:rsid w:val="00E43F01"/>
    <w:rPr>
      <w:rFonts w:ascii="Book Antiqua" w:eastAsia="Times New Roman" w:hAnsi="Book Antiqua" w:cs="Times New Roman"/>
      <w:sz w:val="20"/>
      <w:szCs w:val="20"/>
      <w:lang w:eastAsia="pt-PT"/>
    </w:rPr>
  </w:style>
  <w:style w:type="character" w:styleId="Refdenotaderodap">
    <w:name w:val="footnote reference"/>
    <w:semiHidden/>
    <w:unhideWhenUsed/>
    <w:rsid w:val="00E43F01"/>
    <w:rPr>
      <w:rFonts w:ascii="Times New Roman" w:hAnsi="Times New Roman" w:cs="Times New Roman" w:hint="default"/>
      <w:vertAlign w:val="superscript"/>
    </w:rPr>
  </w:style>
  <w:style w:type="paragraph" w:styleId="PargrafodaLista">
    <w:name w:val="List Paragraph"/>
    <w:basedOn w:val="Normal"/>
    <w:uiPriority w:val="34"/>
    <w:qFormat/>
    <w:rsid w:val="004009AD"/>
    <w:pPr>
      <w:spacing w:after="0" w:line="240" w:lineRule="auto"/>
      <w:ind w:left="720"/>
    </w:pPr>
    <w:rPr>
      <w:rFonts w:ascii="Calibri" w:hAnsi="Calibri" w:cs="Calibri"/>
    </w:rPr>
  </w:style>
  <w:style w:type="character" w:styleId="Refdecomentrio">
    <w:name w:val="annotation reference"/>
    <w:basedOn w:val="Tipodeletrapredefinidodopargrafo"/>
    <w:uiPriority w:val="99"/>
    <w:semiHidden/>
    <w:unhideWhenUsed/>
    <w:rsid w:val="002C4597"/>
    <w:rPr>
      <w:sz w:val="16"/>
      <w:szCs w:val="16"/>
    </w:rPr>
  </w:style>
  <w:style w:type="paragraph" w:styleId="Textodecomentrio">
    <w:name w:val="annotation text"/>
    <w:basedOn w:val="Normal"/>
    <w:link w:val="TextodecomentrioCarter"/>
    <w:uiPriority w:val="99"/>
    <w:semiHidden/>
    <w:unhideWhenUsed/>
    <w:rsid w:val="002C459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2C4597"/>
    <w:rPr>
      <w:sz w:val="20"/>
      <w:szCs w:val="20"/>
    </w:rPr>
  </w:style>
  <w:style w:type="paragraph" w:styleId="Assuntodecomentrio">
    <w:name w:val="annotation subject"/>
    <w:basedOn w:val="Textodecomentrio"/>
    <w:next w:val="Textodecomentrio"/>
    <w:link w:val="AssuntodecomentrioCarter"/>
    <w:uiPriority w:val="99"/>
    <w:semiHidden/>
    <w:unhideWhenUsed/>
    <w:rsid w:val="002C4597"/>
    <w:rPr>
      <w:b/>
      <w:bCs/>
    </w:rPr>
  </w:style>
  <w:style w:type="character" w:customStyle="1" w:styleId="AssuntodecomentrioCarter">
    <w:name w:val="Assunto de comentário Caráter"/>
    <w:basedOn w:val="TextodecomentrioCarter"/>
    <w:link w:val="Assuntodecomentrio"/>
    <w:uiPriority w:val="99"/>
    <w:semiHidden/>
    <w:rsid w:val="002C4597"/>
    <w:rPr>
      <w:b/>
      <w:bCs/>
      <w:sz w:val="20"/>
      <w:szCs w:val="20"/>
    </w:rPr>
  </w:style>
  <w:style w:type="paragraph" w:styleId="Textodebalo">
    <w:name w:val="Balloon Text"/>
    <w:basedOn w:val="Normal"/>
    <w:link w:val="TextodebaloCarter"/>
    <w:uiPriority w:val="99"/>
    <w:semiHidden/>
    <w:unhideWhenUsed/>
    <w:rsid w:val="002C4597"/>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C4597"/>
    <w:rPr>
      <w:rFonts w:ascii="Segoe UI" w:hAnsi="Segoe UI" w:cs="Segoe UI"/>
      <w:sz w:val="18"/>
      <w:szCs w:val="18"/>
    </w:rPr>
  </w:style>
  <w:style w:type="paragraph" w:styleId="Cabealho">
    <w:name w:val="header"/>
    <w:basedOn w:val="Normal"/>
    <w:link w:val="CabealhoCarter"/>
    <w:uiPriority w:val="99"/>
    <w:unhideWhenUsed/>
    <w:rsid w:val="005F01D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F01D0"/>
  </w:style>
  <w:style w:type="paragraph" w:styleId="Rodap">
    <w:name w:val="footer"/>
    <w:basedOn w:val="Normal"/>
    <w:link w:val="RodapCarter"/>
    <w:uiPriority w:val="99"/>
    <w:unhideWhenUsed/>
    <w:rsid w:val="005F01D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F01D0"/>
  </w:style>
  <w:style w:type="character" w:styleId="Hiperligao">
    <w:name w:val="Hyperlink"/>
    <w:basedOn w:val="Tipodeletrapredefinidodopargrafo"/>
    <w:uiPriority w:val="99"/>
    <w:unhideWhenUsed/>
    <w:rsid w:val="0029071D"/>
    <w:rPr>
      <w:color w:val="0563C1" w:themeColor="hyperlink"/>
      <w:u w:val="single"/>
    </w:rPr>
  </w:style>
  <w:style w:type="character" w:customStyle="1" w:styleId="MenoNoResolvida1">
    <w:name w:val="Menção Não Resolvida1"/>
    <w:basedOn w:val="Tipodeletrapredefinidodopargrafo"/>
    <w:uiPriority w:val="99"/>
    <w:semiHidden/>
    <w:unhideWhenUsed/>
    <w:rsid w:val="0020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015669">
      <w:bodyDiv w:val="1"/>
      <w:marLeft w:val="0"/>
      <w:marRight w:val="0"/>
      <w:marTop w:val="0"/>
      <w:marBottom w:val="0"/>
      <w:divBdr>
        <w:top w:val="none" w:sz="0" w:space="0" w:color="auto"/>
        <w:left w:val="none" w:sz="0" w:space="0" w:color="auto"/>
        <w:bottom w:val="none" w:sz="0" w:space="0" w:color="auto"/>
        <w:right w:val="none" w:sz="0" w:space="0" w:color="auto"/>
      </w:divBdr>
    </w:div>
    <w:div w:id="919873842">
      <w:bodyDiv w:val="1"/>
      <w:marLeft w:val="0"/>
      <w:marRight w:val="0"/>
      <w:marTop w:val="0"/>
      <w:marBottom w:val="0"/>
      <w:divBdr>
        <w:top w:val="none" w:sz="0" w:space="0" w:color="auto"/>
        <w:left w:val="none" w:sz="0" w:space="0" w:color="auto"/>
        <w:bottom w:val="none" w:sz="0" w:space="0" w:color="auto"/>
        <w:right w:val="none" w:sz="0" w:space="0" w:color="auto"/>
      </w:divBdr>
    </w:div>
    <w:div w:id="950164219">
      <w:bodyDiv w:val="1"/>
      <w:marLeft w:val="0"/>
      <w:marRight w:val="0"/>
      <w:marTop w:val="0"/>
      <w:marBottom w:val="0"/>
      <w:divBdr>
        <w:top w:val="none" w:sz="0" w:space="0" w:color="auto"/>
        <w:left w:val="none" w:sz="0" w:space="0" w:color="auto"/>
        <w:bottom w:val="none" w:sz="0" w:space="0" w:color="auto"/>
        <w:right w:val="none" w:sz="0" w:space="0" w:color="auto"/>
      </w:divBdr>
    </w:div>
    <w:div w:id="1242519917">
      <w:bodyDiv w:val="1"/>
      <w:marLeft w:val="0"/>
      <w:marRight w:val="0"/>
      <w:marTop w:val="0"/>
      <w:marBottom w:val="0"/>
      <w:divBdr>
        <w:top w:val="none" w:sz="0" w:space="0" w:color="auto"/>
        <w:left w:val="none" w:sz="0" w:space="0" w:color="auto"/>
        <w:bottom w:val="none" w:sz="0" w:space="0" w:color="auto"/>
        <w:right w:val="none" w:sz="0" w:space="0" w:color="auto"/>
      </w:divBdr>
    </w:div>
    <w:div w:id="16739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omip.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D674-0EA1-404F-A778-22A9F907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1924</Words>
  <Characters>10392</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OMIP</dc:creator>
  <cp:keywords/>
  <dc:description/>
  <cp:lastModifiedBy>Ricardo M Figueiredo [OMIP]</cp:lastModifiedBy>
  <cp:revision>12</cp:revision>
  <dcterms:created xsi:type="dcterms:W3CDTF">2021-07-05T20:14:00Z</dcterms:created>
  <dcterms:modified xsi:type="dcterms:W3CDTF">2025-01-02T11:55:00Z</dcterms:modified>
</cp:coreProperties>
</file>